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4D65C" w14:textId="77777777" w:rsidR="00C154AC" w:rsidRPr="00C154AC" w:rsidRDefault="00C154AC">
      <w:pPr>
        <w:rPr>
          <w:b/>
          <w:sz w:val="28"/>
          <w:szCs w:val="28"/>
          <w:u w:val="single"/>
        </w:rPr>
      </w:pPr>
      <w:r w:rsidRPr="00C154AC">
        <w:rPr>
          <w:b/>
          <w:sz w:val="28"/>
          <w:szCs w:val="28"/>
          <w:u w:val="single"/>
        </w:rPr>
        <w:t>Παράδειγμα</w:t>
      </w:r>
    </w:p>
    <w:p w14:paraId="2C75554C" w14:textId="766D77C5" w:rsidR="00071963" w:rsidRPr="0073238D" w:rsidRDefault="00814476" w:rsidP="0016787A">
      <w:pPr>
        <w:spacing w:after="120"/>
        <w:jc w:val="both"/>
        <w:rPr>
          <w:sz w:val="28"/>
          <w:szCs w:val="28"/>
        </w:rPr>
      </w:pPr>
      <w:r>
        <w:rPr>
          <w:sz w:val="28"/>
          <w:szCs w:val="28"/>
        </w:rPr>
        <w:t xml:space="preserve">Να γίνει επιλογή του καταλλήλου </w:t>
      </w:r>
      <w:r w:rsidR="00A40B43">
        <w:rPr>
          <w:sz w:val="28"/>
          <w:szCs w:val="28"/>
        </w:rPr>
        <w:t xml:space="preserve">χώρου υγειονομικής ταφής (ΧΥΤ) </w:t>
      </w:r>
      <w:r w:rsidR="00DE2A68">
        <w:rPr>
          <w:sz w:val="28"/>
          <w:szCs w:val="28"/>
        </w:rPr>
        <w:t xml:space="preserve">για: (1) </w:t>
      </w:r>
      <w:r w:rsidR="00475D1C">
        <w:rPr>
          <w:sz w:val="28"/>
          <w:szCs w:val="28"/>
        </w:rPr>
        <w:t>Α</w:t>
      </w:r>
      <w:r w:rsidR="00DE2A68">
        <w:rPr>
          <w:sz w:val="28"/>
          <w:szCs w:val="28"/>
        </w:rPr>
        <w:t>πόβλητ</w:t>
      </w:r>
      <w:r w:rsidR="003512F5">
        <w:rPr>
          <w:sz w:val="28"/>
          <w:szCs w:val="28"/>
        </w:rPr>
        <w:t>ο</w:t>
      </w:r>
      <w:r w:rsidR="00475D1C">
        <w:rPr>
          <w:sz w:val="28"/>
          <w:szCs w:val="28"/>
        </w:rPr>
        <w:t xml:space="preserve"> </w:t>
      </w:r>
      <w:r w:rsidR="00590B8A">
        <w:rPr>
          <w:sz w:val="28"/>
          <w:szCs w:val="28"/>
        </w:rPr>
        <w:t>συμπαγούς κυματοειδούς</w:t>
      </w:r>
      <w:r w:rsidR="004F192D">
        <w:rPr>
          <w:sz w:val="28"/>
          <w:szCs w:val="28"/>
        </w:rPr>
        <w:t xml:space="preserve"> φύλλου αμιαντοτσιμέντου</w:t>
      </w:r>
      <w:r w:rsidR="000161E6">
        <w:rPr>
          <w:sz w:val="28"/>
          <w:szCs w:val="28"/>
        </w:rPr>
        <w:t xml:space="preserve"> </w:t>
      </w:r>
      <w:r w:rsidR="008A67B7">
        <w:rPr>
          <w:sz w:val="28"/>
          <w:szCs w:val="28"/>
        </w:rPr>
        <w:t>με κωδικό ΕΚΑ 17 06 05*</w:t>
      </w:r>
      <w:r w:rsidR="00F37C82">
        <w:rPr>
          <w:sz w:val="28"/>
          <w:szCs w:val="28"/>
        </w:rPr>
        <w:t xml:space="preserve">. (2) </w:t>
      </w:r>
      <w:r w:rsidR="008A0F01">
        <w:rPr>
          <w:sz w:val="28"/>
          <w:szCs w:val="28"/>
        </w:rPr>
        <w:t>Τ</w:t>
      </w:r>
      <w:r w:rsidR="00F37C82">
        <w:rPr>
          <w:sz w:val="28"/>
          <w:szCs w:val="28"/>
        </w:rPr>
        <w:t>ο ίδιο απόβλητο σε</w:t>
      </w:r>
      <w:r w:rsidR="003A5C4C">
        <w:rPr>
          <w:sz w:val="28"/>
          <w:szCs w:val="28"/>
        </w:rPr>
        <w:t xml:space="preserve"> θρυμματισμένη-κοκκώδη μορφή</w:t>
      </w:r>
      <w:r w:rsidR="006D602A">
        <w:rPr>
          <w:sz w:val="28"/>
          <w:szCs w:val="28"/>
        </w:rPr>
        <w:t>.</w:t>
      </w:r>
      <w:r w:rsidR="00F028AF" w:rsidRPr="00C45290">
        <w:rPr>
          <w:sz w:val="28"/>
          <w:szCs w:val="28"/>
        </w:rPr>
        <w:t xml:space="preserve"> </w:t>
      </w:r>
      <w:r w:rsidR="00F028AF">
        <w:rPr>
          <w:sz w:val="28"/>
          <w:szCs w:val="28"/>
        </w:rPr>
        <w:t>Να χρησιμοποιηθούν τα κάτωθι πειραματικά δεδομένα</w:t>
      </w:r>
      <w:r w:rsidR="00F37C82">
        <w:rPr>
          <w:sz w:val="28"/>
          <w:szCs w:val="28"/>
        </w:rPr>
        <w:t xml:space="preserve"> </w:t>
      </w:r>
      <w:r w:rsidR="00F028AF">
        <w:rPr>
          <w:sz w:val="28"/>
          <w:szCs w:val="28"/>
        </w:rPr>
        <w:t>έκπλυσης</w:t>
      </w:r>
      <w:r w:rsidR="00C45290">
        <w:rPr>
          <w:sz w:val="28"/>
          <w:szCs w:val="28"/>
        </w:rPr>
        <w:t xml:space="preserve"> από την </w:t>
      </w:r>
      <w:r w:rsidR="00D636AC">
        <w:rPr>
          <w:sz w:val="28"/>
          <w:szCs w:val="28"/>
        </w:rPr>
        <w:t>δημοσίευση</w:t>
      </w:r>
      <w:r w:rsidR="00020218">
        <w:rPr>
          <w:sz w:val="28"/>
          <w:szCs w:val="28"/>
        </w:rPr>
        <w:t xml:space="preserve">: </w:t>
      </w:r>
      <w:r w:rsidR="005C6207" w:rsidRPr="005C6207">
        <w:rPr>
          <w:sz w:val="28"/>
          <w:szCs w:val="28"/>
          <w:lang w:val="en-US"/>
        </w:rPr>
        <w:t>Soultanidis</w:t>
      </w:r>
      <w:r w:rsidR="005C6207" w:rsidRPr="00020218">
        <w:rPr>
          <w:sz w:val="28"/>
          <w:szCs w:val="28"/>
        </w:rPr>
        <w:t xml:space="preserve">, </w:t>
      </w:r>
      <w:r w:rsidR="005C6207" w:rsidRPr="005C6207">
        <w:rPr>
          <w:sz w:val="28"/>
          <w:szCs w:val="28"/>
          <w:lang w:val="en-US"/>
        </w:rPr>
        <w:t>V</w:t>
      </w:r>
      <w:r w:rsidR="005C6207" w:rsidRPr="00020218">
        <w:rPr>
          <w:sz w:val="28"/>
          <w:szCs w:val="28"/>
        </w:rPr>
        <w:t xml:space="preserve">., </w:t>
      </w:r>
      <w:r w:rsidR="005C6207" w:rsidRPr="005C6207">
        <w:rPr>
          <w:sz w:val="28"/>
          <w:szCs w:val="28"/>
          <w:lang w:val="en-US"/>
        </w:rPr>
        <w:t>Voudrias</w:t>
      </w:r>
      <w:r w:rsidR="005C6207" w:rsidRPr="00020218">
        <w:rPr>
          <w:sz w:val="28"/>
          <w:szCs w:val="28"/>
        </w:rPr>
        <w:t xml:space="preserve">, </w:t>
      </w:r>
      <w:r w:rsidR="005C6207" w:rsidRPr="005C6207">
        <w:rPr>
          <w:sz w:val="28"/>
          <w:szCs w:val="28"/>
          <w:lang w:val="en-US"/>
        </w:rPr>
        <w:t>E</w:t>
      </w:r>
      <w:r w:rsidR="005C6207" w:rsidRPr="00020218">
        <w:rPr>
          <w:sz w:val="28"/>
          <w:szCs w:val="28"/>
        </w:rPr>
        <w:t>.</w:t>
      </w:r>
      <w:r w:rsidR="005C6207" w:rsidRPr="005C6207">
        <w:rPr>
          <w:sz w:val="28"/>
          <w:szCs w:val="28"/>
          <w:lang w:val="en-US"/>
        </w:rPr>
        <w:t>A</w:t>
      </w:r>
      <w:r w:rsidR="005C6207" w:rsidRPr="00020218">
        <w:rPr>
          <w:sz w:val="28"/>
          <w:szCs w:val="28"/>
        </w:rPr>
        <w:t xml:space="preserve">. (2024). </w:t>
      </w:r>
      <w:r w:rsidR="005C6207" w:rsidRPr="005C6207">
        <w:rPr>
          <w:sz w:val="28"/>
          <w:szCs w:val="28"/>
          <w:lang w:val="en-US"/>
        </w:rPr>
        <w:t>Leaching and geochemical modeling of</w:t>
      </w:r>
      <w:r w:rsidR="00020218" w:rsidRPr="00607D99">
        <w:rPr>
          <w:sz w:val="28"/>
          <w:szCs w:val="28"/>
          <w:lang w:val="en-US"/>
        </w:rPr>
        <w:t xml:space="preserve"> </w:t>
      </w:r>
      <w:r w:rsidR="005C6207" w:rsidRPr="005C6207">
        <w:rPr>
          <w:sz w:val="28"/>
          <w:szCs w:val="28"/>
          <w:lang w:val="en-US"/>
        </w:rPr>
        <w:t xml:space="preserve">asbestos-cement waste and mine asbestos. </w:t>
      </w:r>
      <w:r w:rsidR="005C6207" w:rsidRPr="005C6207">
        <w:rPr>
          <w:i/>
          <w:iCs/>
          <w:sz w:val="28"/>
          <w:szCs w:val="28"/>
          <w:lang w:val="en-US"/>
        </w:rPr>
        <w:t>Journal</w:t>
      </w:r>
      <w:r w:rsidR="005C6207" w:rsidRPr="0073238D">
        <w:rPr>
          <w:i/>
          <w:iCs/>
          <w:sz w:val="28"/>
          <w:szCs w:val="28"/>
        </w:rPr>
        <w:t xml:space="preserve"> </w:t>
      </w:r>
      <w:r w:rsidR="005C6207" w:rsidRPr="005C6207">
        <w:rPr>
          <w:i/>
          <w:iCs/>
          <w:sz w:val="28"/>
          <w:szCs w:val="28"/>
          <w:lang w:val="en-US"/>
        </w:rPr>
        <w:t>of</w:t>
      </w:r>
      <w:r w:rsidR="005C6207" w:rsidRPr="0073238D">
        <w:rPr>
          <w:i/>
          <w:iCs/>
          <w:sz w:val="28"/>
          <w:szCs w:val="28"/>
        </w:rPr>
        <w:t xml:space="preserve"> </w:t>
      </w:r>
      <w:r w:rsidR="005C6207" w:rsidRPr="005C6207">
        <w:rPr>
          <w:i/>
          <w:iCs/>
          <w:sz w:val="28"/>
          <w:szCs w:val="28"/>
          <w:lang w:val="en-US"/>
        </w:rPr>
        <w:t>Hazardous</w:t>
      </w:r>
      <w:r w:rsidR="005C6207" w:rsidRPr="0073238D">
        <w:rPr>
          <w:i/>
          <w:iCs/>
          <w:sz w:val="28"/>
          <w:szCs w:val="28"/>
        </w:rPr>
        <w:t xml:space="preserve"> </w:t>
      </w:r>
      <w:r w:rsidR="005C6207" w:rsidRPr="005C6207">
        <w:rPr>
          <w:i/>
          <w:iCs/>
          <w:sz w:val="28"/>
          <w:szCs w:val="28"/>
          <w:lang w:val="en-US"/>
        </w:rPr>
        <w:t>Materials</w:t>
      </w:r>
      <w:r w:rsidR="005C6207" w:rsidRPr="0073238D">
        <w:rPr>
          <w:sz w:val="28"/>
          <w:szCs w:val="28"/>
        </w:rPr>
        <w:t xml:space="preserve">, </w:t>
      </w:r>
      <w:r w:rsidR="005C6207" w:rsidRPr="0073238D">
        <w:rPr>
          <w:i/>
          <w:iCs/>
          <w:sz w:val="28"/>
          <w:szCs w:val="28"/>
        </w:rPr>
        <w:t>480</w:t>
      </w:r>
      <w:r w:rsidR="005C6207" w:rsidRPr="0073238D">
        <w:rPr>
          <w:sz w:val="28"/>
          <w:szCs w:val="28"/>
        </w:rPr>
        <w:t>,</w:t>
      </w:r>
      <w:r w:rsidR="00607D99">
        <w:rPr>
          <w:sz w:val="28"/>
          <w:szCs w:val="28"/>
        </w:rPr>
        <w:t xml:space="preserve"> </w:t>
      </w:r>
      <w:r w:rsidR="005C6207" w:rsidRPr="0073238D">
        <w:rPr>
          <w:sz w:val="28"/>
          <w:szCs w:val="28"/>
        </w:rPr>
        <w:t xml:space="preserve">135988, </w:t>
      </w:r>
      <w:hyperlink r:id="rId5" w:history="1">
        <w:r w:rsidR="00843D92" w:rsidRPr="005021D5">
          <w:rPr>
            <w:rStyle w:val="-"/>
            <w:sz w:val="28"/>
            <w:szCs w:val="28"/>
            <w:lang w:val="en-US"/>
          </w:rPr>
          <w:t>https</w:t>
        </w:r>
        <w:r w:rsidR="00843D92" w:rsidRPr="0073238D">
          <w:rPr>
            <w:rStyle w:val="-"/>
            <w:sz w:val="28"/>
            <w:szCs w:val="28"/>
          </w:rPr>
          <w:t>://</w:t>
        </w:r>
        <w:r w:rsidR="00843D92" w:rsidRPr="005021D5">
          <w:rPr>
            <w:rStyle w:val="-"/>
            <w:sz w:val="28"/>
            <w:szCs w:val="28"/>
            <w:lang w:val="en-US"/>
          </w:rPr>
          <w:t>doi</w:t>
        </w:r>
        <w:r w:rsidR="00843D92" w:rsidRPr="0073238D">
          <w:rPr>
            <w:rStyle w:val="-"/>
            <w:sz w:val="28"/>
            <w:szCs w:val="28"/>
          </w:rPr>
          <w:t>.</w:t>
        </w:r>
        <w:r w:rsidR="00843D92" w:rsidRPr="005021D5">
          <w:rPr>
            <w:rStyle w:val="-"/>
            <w:sz w:val="28"/>
            <w:szCs w:val="28"/>
            <w:lang w:val="en-US"/>
          </w:rPr>
          <w:t>org</w:t>
        </w:r>
        <w:r w:rsidR="00843D92" w:rsidRPr="0073238D">
          <w:rPr>
            <w:rStyle w:val="-"/>
            <w:sz w:val="28"/>
            <w:szCs w:val="28"/>
          </w:rPr>
          <w:t>/10.1016/</w:t>
        </w:r>
        <w:r w:rsidR="00843D92" w:rsidRPr="005021D5">
          <w:rPr>
            <w:rStyle w:val="-"/>
            <w:sz w:val="28"/>
            <w:szCs w:val="28"/>
            <w:lang w:val="en-US"/>
          </w:rPr>
          <w:t>j</w:t>
        </w:r>
        <w:r w:rsidR="00843D92" w:rsidRPr="0073238D">
          <w:rPr>
            <w:rStyle w:val="-"/>
            <w:sz w:val="28"/>
            <w:szCs w:val="28"/>
          </w:rPr>
          <w:t>.</w:t>
        </w:r>
        <w:r w:rsidR="00843D92" w:rsidRPr="005021D5">
          <w:rPr>
            <w:rStyle w:val="-"/>
            <w:sz w:val="28"/>
            <w:szCs w:val="28"/>
            <w:lang w:val="en-US"/>
          </w:rPr>
          <w:t>jhazmat</w:t>
        </w:r>
        <w:r w:rsidR="00843D92" w:rsidRPr="0073238D">
          <w:rPr>
            <w:rStyle w:val="-"/>
            <w:sz w:val="28"/>
            <w:szCs w:val="28"/>
          </w:rPr>
          <w:t>.2024.135988</w:t>
        </w:r>
      </w:hyperlink>
      <w:r w:rsidR="00843D92" w:rsidRPr="0073238D">
        <w:rPr>
          <w:sz w:val="28"/>
          <w:szCs w:val="28"/>
        </w:rPr>
        <w:t xml:space="preserve"> </w:t>
      </w:r>
    </w:p>
    <w:p w14:paraId="2BBF175D" w14:textId="0BED4AB1" w:rsidR="002C3E13" w:rsidRPr="00F371A9" w:rsidRDefault="001D24D1" w:rsidP="0016787A">
      <w:pPr>
        <w:spacing w:after="120"/>
        <w:jc w:val="both"/>
        <w:rPr>
          <w:b/>
          <w:bCs/>
          <w:sz w:val="28"/>
          <w:szCs w:val="28"/>
        </w:rPr>
      </w:pPr>
      <w:r w:rsidRPr="00F371A9">
        <w:rPr>
          <w:b/>
          <w:bCs/>
          <w:sz w:val="28"/>
          <w:szCs w:val="28"/>
        </w:rPr>
        <w:t>Συγκεντρώσεις έ</w:t>
      </w:r>
      <w:r w:rsidR="00E03108" w:rsidRPr="00F371A9">
        <w:rPr>
          <w:b/>
          <w:bCs/>
          <w:sz w:val="28"/>
          <w:szCs w:val="28"/>
        </w:rPr>
        <w:t>κπλυση</w:t>
      </w:r>
      <w:r w:rsidRPr="00F371A9">
        <w:rPr>
          <w:b/>
          <w:bCs/>
          <w:sz w:val="28"/>
          <w:szCs w:val="28"/>
        </w:rPr>
        <w:t>ς</w:t>
      </w:r>
      <w:r w:rsidR="00CA64EC" w:rsidRPr="00F371A9">
        <w:rPr>
          <w:b/>
          <w:bCs/>
          <w:sz w:val="28"/>
          <w:szCs w:val="28"/>
        </w:rPr>
        <w:t xml:space="preserve"> (</w:t>
      </w:r>
      <w:r w:rsidR="00CA64EC" w:rsidRPr="00F371A9">
        <w:rPr>
          <w:b/>
          <w:bCs/>
          <w:sz w:val="28"/>
          <w:szCs w:val="28"/>
          <w:lang w:val="en-US"/>
        </w:rPr>
        <w:t>mg</w:t>
      </w:r>
      <w:r w:rsidR="00CA64EC" w:rsidRPr="00F371A9">
        <w:rPr>
          <w:b/>
          <w:bCs/>
          <w:sz w:val="28"/>
          <w:szCs w:val="28"/>
        </w:rPr>
        <w:t>/</w:t>
      </w:r>
      <w:r w:rsidR="00CA64EC" w:rsidRPr="00F371A9">
        <w:rPr>
          <w:b/>
          <w:bCs/>
          <w:sz w:val="28"/>
          <w:szCs w:val="28"/>
          <w:lang w:val="en-US"/>
        </w:rPr>
        <w:t>kg</w:t>
      </w:r>
      <w:r w:rsidR="00CA64EC" w:rsidRPr="00F371A9">
        <w:rPr>
          <w:b/>
          <w:bCs/>
          <w:sz w:val="28"/>
          <w:szCs w:val="28"/>
        </w:rPr>
        <w:t>)</w:t>
      </w:r>
      <w:r w:rsidR="00E03108" w:rsidRPr="00F371A9">
        <w:rPr>
          <w:b/>
          <w:bCs/>
          <w:sz w:val="28"/>
          <w:szCs w:val="28"/>
        </w:rPr>
        <w:t xml:space="preserve"> αποβλήτων αμιαντοτσιμέντου σε φυσικό </w:t>
      </w:r>
      <w:r w:rsidR="00E03108" w:rsidRPr="00F371A9">
        <w:rPr>
          <w:b/>
          <w:bCs/>
          <w:sz w:val="28"/>
          <w:szCs w:val="28"/>
          <w:lang w:val="en-US"/>
        </w:rPr>
        <w:t>pH</w:t>
      </w:r>
      <w:r w:rsidR="00E03108" w:rsidRPr="00F371A9">
        <w:rPr>
          <w:b/>
          <w:bCs/>
          <w:sz w:val="28"/>
          <w:szCs w:val="28"/>
        </w:rPr>
        <w:t xml:space="preserve"> και </w:t>
      </w:r>
      <w:r w:rsidR="00E03108" w:rsidRPr="00F371A9">
        <w:rPr>
          <w:b/>
          <w:bCs/>
          <w:sz w:val="28"/>
          <w:szCs w:val="28"/>
          <w:lang w:val="en-US"/>
        </w:rPr>
        <w:t>L</w:t>
      </w:r>
      <w:r w:rsidR="00E03108" w:rsidRPr="00F371A9">
        <w:rPr>
          <w:b/>
          <w:bCs/>
          <w:sz w:val="28"/>
          <w:szCs w:val="28"/>
        </w:rPr>
        <w:t>/</w:t>
      </w:r>
      <w:r w:rsidR="00E03108" w:rsidRPr="00F371A9">
        <w:rPr>
          <w:b/>
          <w:bCs/>
          <w:sz w:val="28"/>
          <w:szCs w:val="28"/>
          <w:lang w:val="en-US"/>
        </w:rPr>
        <w:t>S</w:t>
      </w:r>
      <w:r w:rsidR="00E03108" w:rsidRPr="00F371A9">
        <w:rPr>
          <w:b/>
          <w:bCs/>
          <w:sz w:val="28"/>
          <w:szCs w:val="28"/>
        </w:rPr>
        <w:t xml:space="preserve">=2 </w:t>
      </w:r>
      <w:r w:rsidR="00E03108" w:rsidRPr="00F371A9">
        <w:rPr>
          <w:b/>
          <w:bCs/>
          <w:sz w:val="28"/>
          <w:szCs w:val="28"/>
          <w:lang w:val="en-US"/>
        </w:rPr>
        <w:t>L</w:t>
      </w:r>
      <w:r w:rsidR="00E03108" w:rsidRPr="00F371A9">
        <w:rPr>
          <w:b/>
          <w:bCs/>
          <w:sz w:val="28"/>
          <w:szCs w:val="28"/>
        </w:rPr>
        <w:t>/</w:t>
      </w:r>
      <w:r w:rsidR="00E03108" w:rsidRPr="00F371A9">
        <w:rPr>
          <w:b/>
          <w:bCs/>
          <w:sz w:val="28"/>
          <w:szCs w:val="28"/>
          <w:lang w:val="en-US"/>
        </w:rPr>
        <w:t>kg</w:t>
      </w:r>
      <w:r w:rsidR="00E03108" w:rsidRPr="00F371A9">
        <w:rPr>
          <w:b/>
          <w:bCs/>
          <w:sz w:val="28"/>
          <w:szCs w:val="28"/>
        </w:rPr>
        <w:t>, σύμφωνα με την μέθοδο ΕΝ 14429.</w:t>
      </w:r>
    </w:p>
    <w:tbl>
      <w:tblPr>
        <w:tblStyle w:val="a4"/>
        <w:tblW w:w="3964" w:type="dxa"/>
        <w:jc w:val="center"/>
        <w:tblLook w:val="04A0" w:firstRow="1" w:lastRow="0" w:firstColumn="1" w:lastColumn="0" w:noHBand="0" w:noVBand="1"/>
      </w:tblPr>
      <w:tblGrid>
        <w:gridCol w:w="1321"/>
        <w:gridCol w:w="2643"/>
      </w:tblGrid>
      <w:tr w:rsidR="0016787A" w:rsidRPr="002C3E13" w14:paraId="40235680" w14:textId="77777777" w:rsidTr="00F371A9">
        <w:trPr>
          <w:trHeight w:val="863"/>
          <w:jc w:val="center"/>
        </w:trPr>
        <w:tc>
          <w:tcPr>
            <w:tcW w:w="1321" w:type="dxa"/>
          </w:tcPr>
          <w:p w14:paraId="3242263B" w14:textId="24C8E99E" w:rsidR="0016787A" w:rsidRPr="002C3E13" w:rsidRDefault="007C7CDE" w:rsidP="002C3E13">
            <w:pPr>
              <w:jc w:val="center"/>
              <w:rPr>
                <w:b/>
                <w:bCs/>
                <w:noProof/>
                <w:sz w:val="28"/>
                <w:szCs w:val="28"/>
              </w:rPr>
            </w:pPr>
            <w:r>
              <w:rPr>
                <w:b/>
                <w:bCs/>
                <w:noProof/>
                <w:sz w:val="28"/>
                <w:szCs w:val="28"/>
              </w:rPr>
              <w:t>Στοιχεία</w:t>
            </w:r>
          </w:p>
        </w:tc>
        <w:tc>
          <w:tcPr>
            <w:tcW w:w="2643" w:type="dxa"/>
          </w:tcPr>
          <w:p w14:paraId="4FD0E60A" w14:textId="2239F847" w:rsidR="0016787A" w:rsidRPr="002C3E13" w:rsidRDefault="00045802" w:rsidP="002C3E13">
            <w:pPr>
              <w:jc w:val="center"/>
              <w:rPr>
                <w:b/>
                <w:bCs/>
                <w:noProof/>
                <w:sz w:val="28"/>
                <w:szCs w:val="28"/>
              </w:rPr>
            </w:pPr>
            <w:r w:rsidRPr="00F371A9">
              <w:rPr>
                <w:b/>
                <w:bCs/>
                <w:noProof/>
                <w:sz w:val="28"/>
                <w:szCs w:val="28"/>
              </w:rPr>
              <w:t xml:space="preserve">Συγκέντρωση στο έκπλυμα, </w:t>
            </w:r>
            <w:r w:rsidRPr="00F371A9">
              <w:rPr>
                <w:b/>
                <w:bCs/>
                <w:noProof/>
                <w:sz w:val="28"/>
                <w:szCs w:val="28"/>
                <w:lang w:val="en-US"/>
              </w:rPr>
              <w:t>mg</w:t>
            </w:r>
            <w:r w:rsidRPr="00F371A9">
              <w:rPr>
                <w:b/>
                <w:bCs/>
                <w:noProof/>
                <w:sz w:val="28"/>
                <w:szCs w:val="28"/>
              </w:rPr>
              <w:t>/</w:t>
            </w:r>
            <w:r w:rsidRPr="00F371A9">
              <w:rPr>
                <w:b/>
                <w:bCs/>
                <w:noProof/>
                <w:sz w:val="28"/>
                <w:szCs w:val="28"/>
                <w:lang w:val="en-US"/>
              </w:rPr>
              <w:t>kg</w:t>
            </w:r>
          </w:p>
        </w:tc>
      </w:tr>
      <w:tr w:rsidR="0016787A" w:rsidRPr="002C3E13" w14:paraId="0DBFDF3B" w14:textId="77777777" w:rsidTr="00F371A9">
        <w:trPr>
          <w:trHeight w:val="284"/>
          <w:jc w:val="center"/>
        </w:trPr>
        <w:tc>
          <w:tcPr>
            <w:tcW w:w="1321" w:type="dxa"/>
          </w:tcPr>
          <w:p w14:paraId="26BA3329" w14:textId="77777777" w:rsidR="0016787A" w:rsidRPr="002C3E13" w:rsidRDefault="0016787A" w:rsidP="002C3E13">
            <w:pPr>
              <w:jc w:val="center"/>
              <w:rPr>
                <w:noProof/>
                <w:sz w:val="28"/>
                <w:szCs w:val="28"/>
                <w:lang w:val="en-US"/>
              </w:rPr>
            </w:pPr>
            <w:r w:rsidRPr="002C3E13">
              <w:rPr>
                <w:noProof/>
                <w:sz w:val="28"/>
                <w:szCs w:val="28"/>
                <w:lang w:val="en-US"/>
              </w:rPr>
              <w:t>Cd</w:t>
            </w:r>
          </w:p>
        </w:tc>
        <w:tc>
          <w:tcPr>
            <w:tcW w:w="2643" w:type="dxa"/>
          </w:tcPr>
          <w:p w14:paraId="2E3D5E44" w14:textId="7C15DA6C" w:rsidR="0016787A" w:rsidRPr="002C3E13" w:rsidRDefault="0016787A" w:rsidP="002C3E13">
            <w:pPr>
              <w:jc w:val="center"/>
              <w:rPr>
                <w:rFonts w:eastAsia="Calibri"/>
                <w:noProof/>
                <w:sz w:val="28"/>
                <w:szCs w:val="28"/>
                <w:lang w:val="en-US"/>
              </w:rPr>
            </w:pPr>
            <w:r w:rsidRPr="002C3E13">
              <w:rPr>
                <w:rFonts w:eastAsia="Calibri"/>
                <w:noProof/>
                <w:sz w:val="28"/>
                <w:szCs w:val="28"/>
                <w:lang w:val="en-US"/>
              </w:rPr>
              <w:t>0</w:t>
            </w:r>
            <w:r w:rsidR="00F371A9">
              <w:rPr>
                <w:rFonts w:eastAsia="Calibri"/>
                <w:noProof/>
                <w:sz w:val="28"/>
                <w:szCs w:val="28"/>
                <w:lang w:val="en-US"/>
              </w:rPr>
              <w:t>,</w:t>
            </w:r>
            <w:r w:rsidRPr="002C3E13">
              <w:rPr>
                <w:rFonts w:eastAsia="Calibri"/>
                <w:noProof/>
                <w:sz w:val="28"/>
                <w:szCs w:val="28"/>
                <w:lang w:val="en-US"/>
              </w:rPr>
              <w:t>53</w:t>
            </w:r>
          </w:p>
        </w:tc>
      </w:tr>
      <w:tr w:rsidR="0016787A" w:rsidRPr="002C3E13" w14:paraId="39C88875" w14:textId="77777777" w:rsidTr="00F371A9">
        <w:trPr>
          <w:trHeight w:val="284"/>
          <w:jc w:val="center"/>
        </w:trPr>
        <w:tc>
          <w:tcPr>
            <w:tcW w:w="1321" w:type="dxa"/>
          </w:tcPr>
          <w:p w14:paraId="14E39CE6" w14:textId="77777777" w:rsidR="0016787A" w:rsidRPr="002C3E13" w:rsidRDefault="0016787A" w:rsidP="002C3E13">
            <w:pPr>
              <w:jc w:val="center"/>
              <w:rPr>
                <w:noProof/>
                <w:sz w:val="28"/>
                <w:szCs w:val="28"/>
                <w:lang w:val="en-US"/>
              </w:rPr>
            </w:pPr>
            <w:r w:rsidRPr="002C3E13">
              <w:rPr>
                <w:noProof/>
                <w:sz w:val="28"/>
                <w:szCs w:val="28"/>
                <w:lang w:val="en-US"/>
              </w:rPr>
              <w:t>Cr</w:t>
            </w:r>
          </w:p>
        </w:tc>
        <w:tc>
          <w:tcPr>
            <w:tcW w:w="2643" w:type="dxa"/>
          </w:tcPr>
          <w:p w14:paraId="737F0A96" w14:textId="7C92B10A" w:rsidR="0016787A" w:rsidRPr="002C3E13" w:rsidRDefault="0016787A" w:rsidP="002C3E13">
            <w:pPr>
              <w:jc w:val="center"/>
              <w:rPr>
                <w:rFonts w:eastAsia="Calibri"/>
                <w:noProof/>
                <w:color w:val="FF0000"/>
                <w:sz w:val="28"/>
                <w:szCs w:val="28"/>
                <w:lang w:val="en-US"/>
              </w:rPr>
            </w:pPr>
            <w:r w:rsidRPr="002C3E13">
              <w:rPr>
                <w:rFonts w:eastAsia="Calibri"/>
                <w:noProof/>
                <w:sz w:val="28"/>
                <w:szCs w:val="28"/>
                <w:lang w:val="en-US"/>
              </w:rPr>
              <w:t>23</w:t>
            </w:r>
            <w:r w:rsidR="00F371A9" w:rsidRPr="00C813AE">
              <w:rPr>
                <w:rFonts w:eastAsia="Calibri"/>
                <w:noProof/>
                <w:sz w:val="28"/>
                <w:szCs w:val="28"/>
                <w:lang w:val="en-US"/>
              </w:rPr>
              <w:t>,</w:t>
            </w:r>
            <w:r w:rsidRPr="002C3E13">
              <w:rPr>
                <w:rFonts w:eastAsia="Calibri"/>
                <w:noProof/>
                <w:sz w:val="28"/>
                <w:szCs w:val="28"/>
                <w:lang w:val="en-US"/>
              </w:rPr>
              <w:t>7</w:t>
            </w:r>
          </w:p>
        </w:tc>
      </w:tr>
      <w:tr w:rsidR="0016787A" w:rsidRPr="002C3E13" w14:paraId="35463077" w14:textId="77777777" w:rsidTr="00F371A9">
        <w:trPr>
          <w:trHeight w:val="284"/>
          <w:jc w:val="center"/>
        </w:trPr>
        <w:tc>
          <w:tcPr>
            <w:tcW w:w="1321" w:type="dxa"/>
          </w:tcPr>
          <w:p w14:paraId="5D27B031" w14:textId="77777777" w:rsidR="0016787A" w:rsidRPr="002C3E13" w:rsidRDefault="0016787A" w:rsidP="002C3E13">
            <w:pPr>
              <w:jc w:val="center"/>
              <w:rPr>
                <w:noProof/>
                <w:sz w:val="28"/>
                <w:szCs w:val="28"/>
                <w:lang w:val="en-US"/>
              </w:rPr>
            </w:pPr>
            <w:r w:rsidRPr="002C3E13">
              <w:rPr>
                <w:noProof/>
                <w:sz w:val="28"/>
                <w:szCs w:val="28"/>
                <w:lang w:val="en-US"/>
              </w:rPr>
              <w:t>Cu</w:t>
            </w:r>
          </w:p>
        </w:tc>
        <w:tc>
          <w:tcPr>
            <w:tcW w:w="2643" w:type="dxa"/>
          </w:tcPr>
          <w:p w14:paraId="5DF44CC3" w14:textId="3DEEE47A" w:rsidR="0016787A" w:rsidRPr="002C3E13" w:rsidRDefault="0016787A" w:rsidP="002C3E13">
            <w:pPr>
              <w:jc w:val="center"/>
              <w:rPr>
                <w:rFonts w:eastAsia="Calibri"/>
                <w:noProof/>
                <w:sz w:val="28"/>
                <w:szCs w:val="28"/>
                <w:lang w:val="en-US"/>
              </w:rPr>
            </w:pPr>
            <w:r w:rsidRPr="002C3E13">
              <w:rPr>
                <w:rFonts w:eastAsia="Calibri"/>
                <w:noProof/>
                <w:sz w:val="28"/>
                <w:szCs w:val="28"/>
                <w:lang w:val="en-US"/>
              </w:rPr>
              <w:t>1</w:t>
            </w:r>
            <w:r w:rsidR="00F371A9">
              <w:rPr>
                <w:rFonts w:eastAsia="Calibri"/>
                <w:noProof/>
                <w:sz w:val="28"/>
                <w:szCs w:val="28"/>
                <w:lang w:val="en-US"/>
              </w:rPr>
              <w:t>,</w:t>
            </w:r>
            <w:r w:rsidRPr="002C3E13">
              <w:rPr>
                <w:rFonts w:eastAsia="Calibri"/>
                <w:noProof/>
                <w:sz w:val="28"/>
                <w:szCs w:val="28"/>
                <w:lang w:val="en-US"/>
              </w:rPr>
              <w:t>57</w:t>
            </w:r>
          </w:p>
        </w:tc>
      </w:tr>
      <w:tr w:rsidR="0016787A" w:rsidRPr="002C3E13" w14:paraId="3CC0E5E6" w14:textId="77777777" w:rsidTr="00F371A9">
        <w:trPr>
          <w:trHeight w:val="80"/>
          <w:jc w:val="center"/>
        </w:trPr>
        <w:tc>
          <w:tcPr>
            <w:tcW w:w="1321" w:type="dxa"/>
          </w:tcPr>
          <w:p w14:paraId="60BE0CB1" w14:textId="77777777" w:rsidR="0016787A" w:rsidRPr="002C3E13" w:rsidRDefault="0016787A" w:rsidP="002C3E13">
            <w:pPr>
              <w:jc w:val="center"/>
              <w:rPr>
                <w:noProof/>
                <w:sz w:val="28"/>
                <w:szCs w:val="28"/>
                <w:lang w:val="en-US"/>
              </w:rPr>
            </w:pPr>
            <w:r w:rsidRPr="002C3E13">
              <w:rPr>
                <w:noProof/>
                <w:sz w:val="28"/>
                <w:szCs w:val="28"/>
                <w:lang w:val="en-US"/>
              </w:rPr>
              <w:t>Ni</w:t>
            </w:r>
          </w:p>
        </w:tc>
        <w:tc>
          <w:tcPr>
            <w:tcW w:w="2643" w:type="dxa"/>
          </w:tcPr>
          <w:p w14:paraId="3C8B8B12" w14:textId="2EB53BAE" w:rsidR="0016787A" w:rsidRPr="002C3E13" w:rsidRDefault="0016787A" w:rsidP="002C3E13">
            <w:pPr>
              <w:jc w:val="center"/>
              <w:rPr>
                <w:rFonts w:eastAsia="Calibri"/>
                <w:noProof/>
                <w:sz w:val="28"/>
                <w:szCs w:val="28"/>
                <w:lang w:val="en-US"/>
              </w:rPr>
            </w:pPr>
            <w:r w:rsidRPr="002C3E13">
              <w:rPr>
                <w:rFonts w:eastAsia="Calibri"/>
                <w:noProof/>
                <w:sz w:val="28"/>
                <w:szCs w:val="28"/>
                <w:lang w:val="en-US"/>
              </w:rPr>
              <w:t>2</w:t>
            </w:r>
            <w:r w:rsidR="00F371A9">
              <w:rPr>
                <w:rFonts w:eastAsia="Calibri"/>
                <w:noProof/>
                <w:sz w:val="28"/>
                <w:szCs w:val="28"/>
                <w:lang w:val="en-US"/>
              </w:rPr>
              <w:t>,</w:t>
            </w:r>
            <w:r w:rsidRPr="002C3E13">
              <w:rPr>
                <w:rFonts w:eastAsia="Calibri"/>
                <w:noProof/>
                <w:sz w:val="28"/>
                <w:szCs w:val="28"/>
                <w:lang w:val="en-US"/>
              </w:rPr>
              <w:t>63</w:t>
            </w:r>
          </w:p>
        </w:tc>
      </w:tr>
      <w:tr w:rsidR="0016787A" w:rsidRPr="002C3E13" w14:paraId="5664C34B" w14:textId="77777777" w:rsidTr="00F371A9">
        <w:trPr>
          <w:trHeight w:val="284"/>
          <w:jc w:val="center"/>
        </w:trPr>
        <w:tc>
          <w:tcPr>
            <w:tcW w:w="1321" w:type="dxa"/>
          </w:tcPr>
          <w:p w14:paraId="4F40870A" w14:textId="77777777" w:rsidR="0016787A" w:rsidRPr="002C3E13" w:rsidRDefault="0016787A" w:rsidP="002C3E13">
            <w:pPr>
              <w:jc w:val="center"/>
              <w:rPr>
                <w:noProof/>
                <w:sz w:val="28"/>
                <w:szCs w:val="28"/>
                <w:lang w:val="en-US"/>
              </w:rPr>
            </w:pPr>
            <w:r w:rsidRPr="002C3E13">
              <w:rPr>
                <w:noProof/>
                <w:sz w:val="28"/>
                <w:szCs w:val="28"/>
                <w:lang w:val="en-US"/>
              </w:rPr>
              <w:t>Pb</w:t>
            </w:r>
          </w:p>
        </w:tc>
        <w:tc>
          <w:tcPr>
            <w:tcW w:w="2643" w:type="dxa"/>
          </w:tcPr>
          <w:p w14:paraId="5A8C6EE7" w14:textId="3CA2D740" w:rsidR="0016787A" w:rsidRPr="002C3E13" w:rsidRDefault="0016787A" w:rsidP="002C3E13">
            <w:pPr>
              <w:jc w:val="center"/>
              <w:rPr>
                <w:rFonts w:eastAsia="Calibri"/>
                <w:noProof/>
                <w:sz w:val="28"/>
                <w:szCs w:val="28"/>
                <w:lang w:val="en-US"/>
              </w:rPr>
            </w:pPr>
            <w:r w:rsidRPr="002C3E13">
              <w:rPr>
                <w:rFonts w:eastAsia="Calibri"/>
                <w:noProof/>
                <w:sz w:val="28"/>
                <w:szCs w:val="28"/>
                <w:lang w:val="en-US"/>
              </w:rPr>
              <w:t>11</w:t>
            </w:r>
            <w:r w:rsidR="00F371A9" w:rsidRPr="00C813AE">
              <w:rPr>
                <w:rFonts w:eastAsia="Calibri"/>
                <w:noProof/>
                <w:sz w:val="28"/>
                <w:szCs w:val="28"/>
                <w:lang w:val="en-US"/>
              </w:rPr>
              <w:t>,</w:t>
            </w:r>
            <w:r w:rsidRPr="002C3E13">
              <w:rPr>
                <w:rFonts w:eastAsia="Calibri"/>
                <w:noProof/>
                <w:sz w:val="28"/>
                <w:szCs w:val="28"/>
                <w:lang w:val="en-US"/>
              </w:rPr>
              <w:t>9</w:t>
            </w:r>
          </w:p>
        </w:tc>
      </w:tr>
      <w:tr w:rsidR="0016787A" w:rsidRPr="002C3E13" w14:paraId="2B10BB79" w14:textId="77777777" w:rsidTr="00F371A9">
        <w:trPr>
          <w:trHeight w:val="284"/>
          <w:jc w:val="center"/>
        </w:trPr>
        <w:tc>
          <w:tcPr>
            <w:tcW w:w="1321" w:type="dxa"/>
          </w:tcPr>
          <w:p w14:paraId="72A4E850" w14:textId="77777777" w:rsidR="0016787A" w:rsidRPr="002C3E13" w:rsidRDefault="0016787A" w:rsidP="002C3E13">
            <w:pPr>
              <w:jc w:val="center"/>
              <w:rPr>
                <w:noProof/>
                <w:sz w:val="28"/>
                <w:szCs w:val="28"/>
                <w:lang w:val="en-US"/>
              </w:rPr>
            </w:pPr>
            <w:r w:rsidRPr="002C3E13">
              <w:rPr>
                <w:noProof/>
                <w:sz w:val="28"/>
                <w:szCs w:val="28"/>
                <w:lang w:val="en-US"/>
              </w:rPr>
              <w:t>Zn</w:t>
            </w:r>
          </w:p>
        </w:tc>
        <w:tc>
          <w:tcPr>
            <w:tcW w:w="2643" w:type="dxa"/>
          </w:tcPr>
          <w:p w14:paraId="626B2B23" w14:textId="02C174FB" w:rsidR="0016787A" w:rsidRPr="002C3E13" w:rsidRDefault="0016787A" w:rsidP="002C3E13">
            <w:pPr>
              <w:jc w:val="center"/>
              <w:rPr>
                <w:rFonts w:eastAsia="Calibri"/>
                <w:noProof/>
                <w:color w:val="FF0000"/>
                <w:sz w:val="28"/>
                <w:szCs w:val="28"/>
                <w:lang w:val="en-US"/>
              </w:rPr>
            </w:pPr>
            <w:r w:rsidRPr="002C3E13">
              <w:rPr>
                <w:rFonts w:eastAsia="Calibri"/>
                <w:noProof/>
                <w:sz w:val="28"/>
                <w:szCs w:val="28"/>
                <w:lang w:val="en-US"/>
              </w:rPr>
              <w:t>1</w:t>
            </w:r>
            <w:r w:rsidR="00F371A9">
              <w:rPr>
                <w:rFonts w:eastAsia="Calibri"/>
                <w:noProof/>
                <w:sz w:val="28"/>
                <w:szCs w:val="28"/>
                <w:lang w:val="en-US"/>
              </w:rPr>
              <w:t>,</w:t>
            </w:r>
            <w:r w:rsidRPr="002C3E13">
              <w:rPr>
                <w:rFonts w:eastAsia="Calibri"/>
                <w:noProof/>
                <w:sz w:val="28"/>
                <w:szCs w:val="28"/>
                <w:lang w:val="en-US"/>
              </w:rPr>
              <w:t>09</w:t>
            </w:r>
          </w:p>
        </w:tc>
      </w:tr>
    </w:tbl>
    <w:p w14:paraId="54CE1DE6" w14:textId="2D972898" w:rsidR="00B32F93" w:rsidRPr="00B32F93" w:rsidRDefault="00B32F93" w:rsidP="00D541DF">
      <w:pPr>
        <w:spacing w:before="120"/>
        <w:jc w:val="both"/>
        <w:rPr>
          <w:b/>
          <w:sz w:val="28"/>
          <w:szCs w:val="28"/>
          <w:u w:val="single"/>
        </w:rPr>
      </w:pPr>
      <w:r w:rsidRPr="00B32F93">
        <w:rPr>
          <w:b/>
          <w:sz w:val="28"/>
          <w:szCs w:val="28"/>
          <w:u w:val="single"/>
        </w:rPr>
        <w:t>Λύση</w:t>
      </w:r>
    </w:p>
    <w:p w14:paraId="06D45485" w14:textId="0D9A039B" w:rsidR="001655A2" w:rsidRDefault="000B00F6" w:rsidP="001D4967">
      <w:pPr>
        <w:spacing w:after="120"/>
        <w:jc w:val="both"/>
        <w:rPr>
          <w:sz w:val="28"/>
          <w:szCs w:val="28"/>
        </w:rPr>
      </w:pPr>
      <w:r>
        <w:rPr>
          <w:sz w:val="28"/>
          <w:szCs w:val="28"/>
        </w:rPr>
        <w:t>(</w:t>
      </w:r>
      <w:r w:rsidR="00ED3EF2">
        <w:rPr>
          <w:sz w:val="28"/>
          <w:szCs w:val="28"/>
        </w:rPr>
        <w:t>1</w:t>
      </w:r>
      <w:r>
        <w:rPr>
          <w:sz w:val="28"/>
          <w:szCs w:val="28"/>
        </w:rPr>
        <w:t xml:space="preserve">) Για την περίπτωση αποβλήτου συμπαγούς αμιαντοτσιμέντου, εφαρμόζεται η διάταξη </w:t>
      </w:r>
      <w:r w:rsidR="000B111F" w:rsidRPr="00682B08">
        <w:rPr>
          <w:i/>
          <w:iCs/>
          <w:sz w:val="28"/>
          <w:szCs w:val="28"/>
        </w:rPr>
        <w:t>2.3.3 Απόβλητα Αμιάντου</w:t>
      </w:r>
      <w:r w:rsidR="000B111F">
        <w:rPr>
          <w:sz w:val="28"/>
          <w:szCs w:val="28"/>
        </w:rPr>
        <w:t xml:space="preserve"> της Απόφασης 2003/33/ΕΚ</w:t>
      </w:r>
      <w:r w:rsidR="00B32F93" w:rsidRPr="000B00F6">
        <w:rPr>
          <w:sz w:val="28"/>
          <w:szCs w:val="28"/>
        </w:rPr>
        <w:t xml:space="preserve"> </w:t>
      </w:r>
      <w:r w:rsidR="00187893">
        <w:rPr>
          <w:sz w:val="28"/>
          <w:szCs w:val="28"/>
        </w:rPr>
        <w:t>«</w:t>
      </w:r>
      <w:r w:rsidR="00187893" w:rsidRPr="00187893">
        <w:rPr>
          <w:sz w:val="28"/>
          <w:szCs w:val="28"/>
        </w:rPr>
        <w:t>για τον καθορισμό κριτηρίων και διαδικασιών αποδοχής των αποβλήτων στους χώρους υγειονομικής</w:t>
      </w:r>
      <w:r w:rsidR="00187893">
        <w:rPr>
          <w:sz w:val="28"/>
          <w:szCs w:val="28"/>
        </w:rPr>
        <w:t xml:space="preserve"> </w:t>
      </w:r>
      <w:r w:rsidR="00187893" w:rsidRPr="00187893">
        <w:rPr>
          <w:sz w:val="28"/>
          <w:szCs w:val="28"/>
        </w:rPr>
        <w:t>ταφής</w:t>
      </w:r>
      <w:r w:rsidR="00187893">
        <w:rPr>
          <w:sz w:val="28"/>
          <w:szCs w:val="28"/>
        </w:rPr>
        <w:t>,</w:t>
      </w:r>
      <w:r w:rsidR="00187893" w:rsidRPr="00187893">
        <w:rPr>
          <w:sz w:val="28"/>
          <w:szCs w:val="28"/>
        </w:rPr>
        <w:t xml:space="preserve"> σύμφωνα με το άρθρο 16 και το παράρτημα ΙΙ της οδηγίας 1999/31/ΕΚ</w:t>
      </w:r>
      <w:r w:rsidR="00BE4412">
        <w:rPr>
          <w:sz w:val="28"/>
          <w:szCs w:val="28"/>
        </w:rPr>
        <w:t xml:space="preserve">». Σύμφωνα με την διάταξη </w:t>
      </w:r>
      <w:r w:rsidR="00322A6C">
        <w:rPr>
          <w:sz w:val="28"/>
          <w:szCs w:val="28"/>
        </w:rPr>
        <w:t>ισχύουν τα κάτωθι:</w:t>
      </w:r>
    </w:p>
    <w:p w14:paraId="0206B388" w14:textId="797B2EEA" w:rsidR="001D4967" w:rsidRPr="001D4967" w:rsidRDefault="001D4967" w:rsidP="009E13EA">
      <w:pPr>
        <w:spacing w:after="120"/>
        <w:ind w:left="720"/>
        <w:jc w:val="both"/>
        <w:rPr>
          <w:bCs/>
          <w:i/>
          <w:iCs/>
          <w:sz w:val="28"/>
          <w:szCs w:val="20"/>
        </w:rPr>
      </w:pPr>
      <w:r w:rsidRPr="001D4967">
        <w:rPr>
          <w:bCs/>
          <w:i/>
          <w:iCs/>
          <w:sz w:val="28"/>
          <w:szCs w:val="20"/>
        </w:rPr>
        <w:t xml:space="preserve">Τα υλικά </w:t>
      </w:r>
      <w:r w:rsidRPr="001D4967">
        <w:rPr>
          <w:b/>
          <w:i/>
          <w:iCs/>
          <w:sz w:val="28"/>
          <w:szCs w:val="20"/>
        </w:rPr>
        <w:t>κατασκευών</w:t>
      </w:r>
      <w:r w:rsidRPr="001D4967">
        <w:rPr>
          <w:bCs/>
          <w:i/>
          <w:iCs/>
          <w:sz w:val="28"/>
          <w:szCs w:val="20"/>
        </w:rPr>
        <w:t xml:space="preserve"> που περιέχουν αμίαντο και άλλα κατάλληλα απόβλητα που περιέχουν αμίαντο μπορούν να εναποτίθενται </w:t>
      </w:r>
      <w:r w:rsidRPr="001D4967">
        <w:rPr>
          <w:b/>
          <w:i/>
          <w:iCs/>
          <w:sz w:val="28"/>
          <w:szCs w:val="20"/>
        </w:rPr>
        <w:t>χωρίς</w:t>
      </w:r>
      <w:r w:rsidRPr="001D4967">
        <w:rPr>
          <w:bCs/>
          <w:i/>
          <w:iCs/>
          <w:sz w:val="28"/>
          <w:szCs w:val="20"/>
        </w:rPr>
        <w:t xml:space="preserve"> </w:t>
      </w:r>
      <w:r w:rsidRPr="001D4967">
        <w:rPr>
          <w:b/>
          <w:i/>
          <w:iCs/>
          <w:sz w:val="28"/>
          <w:szCs w:val="20"/>
        </w:rPr>
        <w:t>δοκιμές</w:t>
      </w:r>
      <w:r w:rsidRPr="001D4967">
        <w:rPr>
          <w:bCs/>
          <w:i/>
          <w:iCs/>
          <w:sz w:val="28"/>
          <w:szCs w:val="20"/>
        </w:rPr>
        <w:t xml:space="preserve"> σε χώρους υγειονομικής ταφής για τα μη επικίνδυνα απόβλητα σύμφωνα με το άρθρο 6 στοιχείο γ) σημείο </w:t>
      </w:r>
      <w:r w:rsidRPr="001D4967">
        <w:rPr>
          <w:bCs/>
          <w:i/>
          <w:iCs/>
          <w:sz w:val="28"/>
          <w:szCs w:val="20"/>
          <w:lang w:val="en-US"/>
        </w:rPr>
        <w:t>iii</w:t>
      </w:r>
      <w:r w:rsidRPr="001D4967">
        <w:rPr>
          <w:bCs/>
          <w:i/>
          <w:iCs/>
          <w:sz w:val="28"/>
          <w:szCs w:val="20"/>
        </w:rPr>
        <w:t>) της οδηγίας για την υγειονομική ταφή των αποβλήτων</w:t>
      </w:r>
      <w:r w:rsidR="00A22818">
        <w:rPr>
          <w:bCs/>
          <w:i/>
          <w:iCs/>
          <w:sz w:val="28"/>
          <w:szCs w:val="20"/>
        </w:rPr>
        <w:t xml:space="preserve"> </w:t>
      </w:r>
      <w:r w:rsidR="00A22818" w:rsidRPr="00107191">
        <w:rPr>
          <w:bCs/>
          <w:sz w:val="28"/>
          <w:szCs w:val="20"/>
        </w:rPr>
        <w:t>(</w:t>
      </w:r>
      <w:r w:rsidR="00A22818">
        <w:rPr>
          <w:bCs/>
          <w:i/>
          <w:iCs/>
          <w:sz w:val="28"/>
          <w:szCs w:val="20"/>
        </w:rPr>
        <w:t>1999/31/ΕΚ</w:t>
      </w:r>
      <w:r w:rsidR="00A22818" w:rsidRPr="00107191">
        <w:rPr>
          <w:bCs/>
          <w:sz w:val="28"/>
          <w:szCs w:val="20"/>
        </w:rPr>
        <w:t>)</w:t>
      </w:r>
      <w:r w:rsidRPr="001D4967">
        <w:rPr>
          <w:bCs/>
          <w:i/>
          <w:iCs/>
          <w:sz w:val="28"/>
          <w:szCs w:val="20"/>
        </w:rPr>
        <w:t>.</w:t>
      </w:r>
    </w:p>
    <w:p w14:paraId="741ECF96" w14:textId="77777777" w:rsidR="001D4967" w:rsidRPr="001D4967" w:rsidRDefault="001D4967" w:rsidP="009E13EA">
      <w:pPr>
        <w:spacing w:after="120"/>
        <w:ind w:left="720"/>
        <w:jc w:val="both"/>
        <w:rPr>
          <w:bCs/>
          <w:i/>
          <w:iCs/>
          <w:sz w:val="28"/>
          <w:szCs w:val="20"/>
        </w:rPr>
      </w:pPr>
      <w:r w:rsidRPr="001D4967">
        <w:rPr>
          <w:bCs/>
          <w:i/>
          <w:iCs/>
          <w:sz w:val="28"/>
          <w:szCs w:val="20"/>
        </w:rPr>
        <w:t>Οι χώροι υγειονομικής ταφής στους οποίους καταλήγουν τα υλικά κατασκευών που περιέχουν αμίαντο καθώς και άλλα κατάλληλα απόβλητα που περιέχουν αμίαντο πρέπει να ανταποκρίνονται στις ακόλουθες απαιτήσεις:</w:t>
      </w:r>
    </w:p>
    <w:p w14:paraId="5D0E9C89" w14:textId="7D84261A" w:rsidR="001D4967" w:rsidRPr="001D4967" w:rsidRDefault="00107191" w:rsidP="009E13EA">
      <w:pPr>
        <w:numPr>
          <w:ilvl w:val="0"/>
          <w:numId w:val="2"/>
        </w:numPr>
        <w:ind w:left="1440"/>
        <w:jc w:val="both"/>
        <w:rPr>
          <w:bCs/>
          <w:i/>
          <w:iCs/>
          <w:sz w:val="28"/>
          <w:szCs w:val="20"/>
        </w:rPr>
      </w:pPr>
      <w:r>
        <w:rPr>
          <w:bCs/>
          <w:i/>
          <w:iCs/>
          <w:sz w:val="28"/>
          <w:szCs w:val="20"/>
        </w:rPr>
        <w:t>Τ</w:t>
      </w:r>
      <w:r w:rsidR="001D4967" w:rsidRPr="001D4967">
        <w:rPr>
          <w:bCs/>
          <w:i/>
          <w:iCs/>
          <w:sz w:val="28"/>
          <w:szCs w:val="20"/>
        </w:rPr>
        <w:t xml:space="preserve">α απόβλητα δεν πρέπει να περιλαμβάνουν άλλες επικίνδυνες ουσίες πλην του </w:t>
      </w:r>
      <w:r w:rsidR="001D4967" w:rsidRPr="001D4967">
        <w:rPr>
          <w:b/>
          <w:i/>
          <w:iCs/>
          <w:sz w:val="28"/>
          <w:szCs w:val="20"/>
        </w:rPr>
        <w:t>δεσμευμένου</w:t>
      </w:r>
      <w:r w:rsidR="001D4967" w:rsidRPr="001D4967">
        <w:rPr>
          <w:bCs/>
          <w:i/>
          <w:iCs/>
          <w:sz w:val="28"/>
          <w:szCs w:val="20"/>
        </w:rPr>
        <w:t xml:space="preserve"> αμιάντου, συμπεριλαμβανομένων των ινών που </w:t>
      </w:r>
      <w:r w:rsidR="001D4967" w:rsidRPr="001D4967">
        <w:rPr>
          <w:b/>
          <w:i/>
          <w:iCs/>
          <w:sz w:val="28"/>
          <w:szCs w:val="20"/>
        </w:rPr>
        <w:t>δεσμεύονται</w:t>
      </w:r>
      <w:r w:rsidR="001D4967" w:rsidRPr="001D4967">
        <w:rPr>
          <w:bCs/>
          <w:i/>
          <w:iCs/>
          <w:sz w:val="28"/>
          <w:szCs w:val="20"/>
        </w:rPr>
        <w:t xml:space="preserve"> από δεσμευτικό παράγοντα ή έχουν συσκευασθεί σε πλαστικό. </w:t>
      </w:r>
    </w:p>
    <w:p w14:paraId="05695C2D" w14:textId="77777777" w:rsidR="00DF7B8A" w:rsidRDefault="00AB04C6" w:rsidP="00991A52">
      <w:pPr>
        <w:numPr>
          <w:ilvl w:val="0"/>
          <w:numId w:val="2"/>
        </w:numPr>
        <w:spacing w:after="120"/>
        <w:ind w:left="1440"/>
        <w:jc w:val="both"/>
        <w:rPr>
          <w:bCs/>
          <w:i/>
          <w:iCs/>
          <w:sz w:val="28"/>
          <w:szCs w:val="20"/>
        </w:rPr>
      </w:pPr>
      <w:r>
        <w:rPr>
          <w:bCs/>
          <w:i/>
          <w:iCs/>
          <w:sz w:val="28"/>
          <w:szCs w:val="20"/>
        </w:rPr>
        <w:lastRenderedPageBreak/>
        <w:t>Ο</w:t>
      </w:r>
      <w:r w:rsidR="001D4967" w:rsidRPr="001D4967">
        <w:rPr>
          <w:bCs/>
          <w:i/>
          <w:iCs/>
          <w:sz w:val="28"/>
          <w:szCs w:val="20"/>
        </w:rPr>
        <w:t xml:space="preserve">ι χώροι υγειονομικής ταφής δέχονται αποκλειστικά και μόνο υλικά κατασκευών που περιέχουν αμίαντο καθώς και άλλα κατάλληλα απόβλητα αμιάντου. Τα απόβλητα αυτά μπορεί επίσης να εναποτίθενται σε χωριστή κυψέλη του χώρου υγειονομικής ταφής για τα </w:t>
      </w:r>
      <w:r w:rsidR="001D4967" w:rsidRPr="001D4967">
        <w:rPr>
          <w:b/>
          <w:i/>
          <w:iCs/>
          <w:sz w:val="28"/>
          <w:szCs w:val="20"/>
        </w:rPr>
        <w:t>μη επικίνδυνα απόβλητα</w:t>
      </w:r>
      <w:r w:rsidR="001D4967" w:rsidRPr="001D4967">
        <w:rPr>
          <w:bCs/>
          <w:i/>
          <w:iCs/>
          <w:sz w:val="28"/>
          <w:szCs w:val="20"/>
        </w:rPr>
        <w:t>, εφόσον η κυψέλη αυτή είναι επαρκώς αυτόνομος.</w:t>
      </w:r>
    </w:p>
    <w:p w14:paraId="7C1D4E2F" w14:textId="7F6828B4" w:rsidR="008827DF" w:rsidRDefault="00AA71D9" w:rsidP="008827DF">
      <w:pPr>
        <w:spacing w:after="120"/>
        <w:jc w:val="both"/>
        <w:rPr>
          <w:bCs/>
          <w:sz w:val="28"/>
          <w:szCs w:val="20"/>
        </w:rPr>
      </w:pPr>
      <w:r>
        <w:rPr>
          <w:bCs/>
          <w:sz w:val="28"/>
          <w:szCs w:val="20"/>
        </w:rPr>
        <w:t xml:space="preserve">Στην περίπτωσή μας, επειδή πρόκειται </w:t>
      </w:r>
      <w:r w:rsidR="00DB7269">
        <w:rPr>
          <w:bCs/>
          <w:sz w:val="28"/>
          <w:szCs w:val="20"/>
        </w:rPr>
        <w:t>για κατασκευαστικό απόβλητο</w:t>
      </w:r>
      <w:r w:rsidR="00991A52">
        <w:rPr>
          <w:bCs/>
          <w:sz w:val="28"/>
          <w:szCs w:val="20"/>
        </w:rPr>
        <w:t xml:space="preserve">, επιλέγεται ΧΥΤ </w:t>
      </w:r>
      <w:r w:rsidR="00991A52" w:rsidRPr="00DB7269">
        <w:rPr>
          <w:b/>
          <w:sz w:val="28"/>
          <w:szCs w:val="20"/>
        </w:rPr>
        <w:t>μη επικινδύνων αποβλήτων</w:t>
      </w:r>
      <w:r w:rsidR="001A6972">
        <w:rPr>
          <w:bCs/>
          <w:sz w:val="28"/>
          <w:szCs w:val="20"/>
        </w:rPr>
        <w:t xml:space="preserve"> με χωριστή κυψέλη για </w:t>
      </w:r>
      <w:r w:rsidR="00EA2AFC">
        <w:rPr>
          <w:bCs/>
          <w:sz w:val="28"/>
          <w:szCs w:val="20"/>
        </w:rPr>
        <w:t xml:space="preserve">κατασκευαστικά </w:t>
      </w:r>
      <w:r w:rsidR="001A6972">
        <w:rPr>
          <w:bCs/>
          <w:sz w:val="28"/>
          <w:szCs w:val="20"/>
        </w:rPr>
        <w:t>απόβλητα αμιάντου</w:t>
      </w:r>
      <w:r w:rsidR="00477C48">
        <w:rPr>
          <w:bCs/>
          <w:sz w:val="28"/>
          <w:szCs w:val="20"/>
        </w:rPr>
        <w:t xml:space="preserve">, χωρίς </w:t>
      </w:r>
      <w:r w:rsidR="0017085A">
        <w:rPr>
          <w:bCs/>
          <w:sz w:val="28"/>
          <w:szCs w:val="20"/>
        </w:rPr>
        <w:t>να γίνουν δοκιμές</w:t>
      </w:r>
      <w:r w:rsidR="00EA2AFC">
        <w:rPr>
          <w:bCs/>
          <w:sz w:val="28"/>
          <w:szCs w:val="20"/>
        </w:rPr>
        <w:t>.</w:t>
      </w:r>
      <w:r w:rsidR="00DB7269">
        <w:rPr>
          <w:bCs/>
          <w:sz w:val="28"/>
          <w:szCs w:val="20"/>
        </w:rPr>
        <w:t xml:space="preserve"> Εάν αυτό δεν είναι δυνατόν</w:t>
      </w:r>
      <w:r w:rsidR="002833FA">
        <w:rPr>
          <w:bCs/>
          <w:sz w:val="28"/>
          <w:szCs w:val="20"/>
        </w:rPr>
        <w:t>, υποχρεωτικά πρέπει να επιλεγεί ΧΥΤ επικινδύνων αποβλήτων</w:t>
      </w:r>
      <w:r w:rsidR="008827DF">
        <w:rPr>
          <w:bCs/>
          <w:sz w:val="28"/>
          <w:szCs w:val="20"/>
        </w:rPr>
        <w:t xml:space="preserve"> (ΧΥΤΕΑ) με σημαντικά υψηλότερο κόστος.</w:t>
      </w:r>
    </w:p>
    <w:p w14:paraId="5ED9549E" w14:textId="5B6CD896" w:rsidR="004D6204" w:rsidRDefault="004D055B" w:rsidP="008827DF">
      <w:pPr>
        <w:spacing w:after="120"/>
        <w:jc w:val="both"/>
        <w:rPr>
          <w:bCs/>
          <w:sz w:val="28"/>
          <w:szCs w:val="20"/>
        </w:rPr>
      </w:pPr>
      <w:r>
        <w:rPr>
          <w:bCs/>
          <w:sz w:val="28"/>
          <w:szCs w:val="20"/>
        </w:rPr>
        <w:t>(2) Για το θρυμματισμένο</w:t>
      </w:r>
      <w:r w:rsidR="00E75464">
        <w:rPr>
          <w:bCs/>
          <w:sz w:val="28"/>
          <w:szCs w:val="20"/>
        </w:rPr>
        <w:t>-κοκκώδ</w:t>
      </w:r>
      <w:r w:rsidR="006B5B32">
        <w:rPr>
          <w:bCs/>
          <w:sz w:val="28"/>
          <w:szCs w:val="20"/>
        </w:rPr>
        <w:t>ε</w:t>
      </w:r>
      <w:r w:rsidR="00E75464">
        <w:rPr>
          <w:bCs/>
          <w:sz w:val="28"/>
          <w:szCs w:val="20"/>
        </w:rPr>
        <w:t>ς</w:t>
      </w:r>
      <w:r>
        <w:rPr>
          <w:bCs/>
          <w:sz w:val="28"/>
          <w:szCs w:val="20"/>
        </w:rPr>
        <w:t xml:space="preserve"> </w:t>
      </w:r>
      <w:r w:rsidR="00344B36">
        <w:rPr>
          <w:bCs/>
          <w:sz w:val="28"/>
          <w:szCs w:val="20"/>
        </w:rPr>
        <w:t xml:space="preserve">αμιαντοτσιμέντο, </w:t>
      </w:r>
      <w:r w:rsidR="00B502A0">
        <w:rPr>
          <w:bCs/>
          <w:sz w:val="28"/>
          <w:szCs w:val="20"/>
        </w:rPr>
        <w:t xml:space="preserve">η ανωτέρω διάταξη </w:t>
      </w:r>
      <w:r w:rsidR="00B502A0" w:rsidRPr="0017085A">
        <w:rPr>
          <w:b/>
          <w:sz w:val="28"/>
          <w:szCs w:val="20"/>
        </w:rPr>
        <w:t>δεν μπορεί</w:t>
      </w:r>
      <w:r w:rsidR="00B502A0">
        <w:rPr>
          <w:bCs/>
          <w:sz w:val="28"/>
          <w:szCs w:val="20"/>
        </w:rPr>
        <w:t xml:space="preserve"> να εφαρμοσθεί, διότι </w:t>
      </w:r>
      <w:r w:rsidR="009A7333">
        <w:rPr>
          <w:bCs/>
          <w:sz w:val="28"/>
          <w:szCs w:val="20"/>
        </w:rPr>
        <w:t>ο αμίαντος δεν είναι πλέον δεσμευμένος</w:t>
      </w:r>
      <w:r w:rsidR="00822E78">
        <w:rPr>
          <w:bCs/>
          <w:sz w:val="28"/>
          <w:szCs w:val="20"/>
        </w:rPr>
        <w:t xml:space="preserve"> και η αναμενόμενη έκπλυση</w:t>
      </w:r>
      <w:r w:rsidR="00D12084">
        <w:rPr>
          <w:bCs/>
          <w:sz w:val="28"/>
          <w:szCs w:val="20"/>
        </w:rPr>
        <w:t xml:space="preserve"> θα</w:t>
      </w:r>
      <w:r w:rsidR="00822E78">
        <w:rPr>
          <w:bCs/>
          <w:sz w:val="28"/>
          <w:szCs w:val="20"/>
        </w:rPr>
        <w:t xml:space="preserve"> είναι πολύ μεγαλύτερη</w:t>
      </w:r>
      <w:r w:rsidR="00B87D3E">
        <w:rPr>
          <w:bCs/>
          <w:sz w:val="28"/>
          <w:szCs w:val="20"/>
        </w:rPr>
        <w:t>, συγκριτικά με</w:t>
      </w:r>
      <w:r w:rsidR="00497533">
        <w:rPr>
          <w:bCs/>
          <w:sz w:val="28"/>
          <w:szCs w:val="20"/>
        </w:rPr>
        <w:t xml:space="preserve"> αυτήν από</w:t>
      </w:r>
      <w:r w:rsidR="00B87D3E">
        <w:rPr>
          <w:bCs/>
          <w:sz w:val="28"/>
          <w:szCs w:val="20"/>
        </w:rPr>
        <w:t xml:space="preserve"> το συμπαγές απόβλητο</w:t>
      </w:r>
      <w:r w:rsidR="00D12084">
        <w:rPr>
          <w:bCs/>
          <w:sz w:val="28"/>
          <w:szCs w:val="20"/>
        </w:rPr>
        <w:t>, αφού η ειδική επιφάνεια του κοκκώδους υλικού θα είναι πολύ μεγαλύτερη</w:t>
      </w:r>
      <w:r w:rsidR="00822E78">
        <w:rPr>
          <w:bCs/>
          <w:sz w:val="28"/>
          <w:szCs w:val="20"/>
        </w:rPr>
        <w:t>.</w:t>
      </w:r>
      <w:r w:rsidR="00F9151F" w:rsidRPr="00F9151F">
        <w:rPr>
          <w:bCs/>
          <w:sz w:val="28"/>
          <w:szCs w:val="20"/>
        </w:rPr>
        <w:t xml:space="preserve"> </w:t>
      </w:r>
      <w:r w:rsidR="00F9151F" w:rsidRPr="00E75464">
        <w:rPr>
          <w:bCs/>
          <w:sz w:val="28"/>
          <w:szCs w:val="20"/>
        </w:rPr>
        <w:t xml:space="preserve">Συνεπώς, το υλικό αυτό πρέπει να αξιολογείται βάσει των τυπικών κριτηρίων αποδοχής αποβλήτων </w:t>
      </w:r>
      <w:r w:rsidR="0084236D">
        <w:rPr>
          <w:bCs/>
          <w:sz w:val="28"/>
          <w:szCs w:val="20"/>
        </w:rPr>
        <w:t xml:space="preserve">της </w:t>
      </w:r>
      <w:r w:rsidR="00497533">
        <w:rPr>
          <w:bCs/>
          <w:sz w:val="28"/>
          <w:szCs w:val="20"/>
        </w:rPr>
        <w:t>Α</w:t>
      </w:r>
      <w:r w:rsidR="0084236D">
        <w:rPr>
          <w:bCs/>
          <w:sz w:val="28"/>
          <w:szCs w:val="20"/>
        </w:rPr>
        <w:t>πόφασης 2003/33/ΕΚ.</w:t>
      </w:r>
      <w:r w:rsidR="000D1F00">
        <w:rPr>
          <w:bCs/>
          <w:sz w:val="28"/>
          <w:szCs w:val="20"/>
        </w:rPr>
        <w:t xml:space="preserve"> Καταστρώνεται ο κάτωθι πίνακας:</w:t>
      </w:r>
    </w:p>
    <w:p w14:paraId="43C364B0" w14:textId="4F3C195F" w:rsidR="007A5D6A" w:rsidRPr="00257441" w:rsidRDefault="00DD09A1" w:rsidP="00257441">
      <w:pPr>
        <w:spacing w:after="120"/>
        <w:jc w:val="both"/>
        <w:rPr>
          <w:bCs/>
          <w:sz w:val="28"/>
          <w:szCs w:val="20"/>
        </w:rPr>
      </w:pPr>
      <w:r>
        <w:rPr>
          <w:b/>
          <w:sz w:val="28"/>
          <w:szCs w:val="20"/>
        </w:rPr>
        <w:t>Σύγκριση</w:t>
      </w:r>
      <w:r w:rsidRPr="009B4DFC">
        <w:rPr>
          <w:b/>
          <w:sz w:val="28"/>
          <w:szCs w:val="20"/>
        </w:rPr>
        <w:t xml:space="preserve"> </w:t>
      </w:r>
      <w:r>
        <w:rPr>
          <w:b/>
          <w:sz w:val="28"/>
          <w:szCs w:val="20"/>
        </w:rPr>
        <w:t>των</w:t>
      </w:r>
      <w:r w:rsidRPr="009B4DFC">
        <w:rPr>
          <w:b/>
          <w:sz w:val="28"/>
          <w:szCs w:val="20"/>
        </w:rPr>
        <w:t xml:space="preserve"> </w:t>
      </w:r>
      <w:r>
        <w:rPr>
          <w:b/>
          <w:sz w:val="28"/>
          <w:szCs w:val="20"/>
        </w:rPr>
        <w:t>συγκεντρώσεων</w:t>
      </w:r>
      <w:r w:rsidRPr="009B4DFC">
        <w:rPr>
          <w:b/>
          <w:sz w:val="28"/>
          <w:szCs w:val="20"/>
        </w:rPr>
        <w:t xml:space="preserve"> </w:t>
      </w:r>
      <w:r>
        <w:rPr>
          <w:b/>
          <w:sz w:val="28"/>
          <w:szCs w:val="20"/>
        </w:rPr>
        <w:t>έκπλυσης</w:t>
      </w:r>
      <w:r w:rsidR="00C57FEE">
        <w:rPr>
          <w:b/>
          <w:sz w:val="28"/>
          <w:szCs w:val="20"/>
        </w:rPr>
        <w:t xml:space="preserve"> του αποβλήτου</w:t>
      </w:r>
      <w:r w:rsidRPr="009B4DFC">
        <w:rPr>
          <w:b/>
          <w:sz w:val="28"/>
          <w:szCs w:val="20"/>
        </w:rPr>
        <w:t xml:space="preserve"> </w:t>
      </w:r>
      <w:r>
        <w:rPr>
          <w:b/>
          <w:sz w:val="28"/>
          <w:szCs w:val="20"/>
        </w:rPr>
        <w:t>σε</w:t>
      </w:r>
      <w:r w:rsidRPr="009B4DFC">
        <w:rPr>
          <w:b/>
          <w:sz w:val="28"/>
          <w:szCs w:val="20"/>
        </w:rPr>
        <w:t xml:space="preserve"> </w:t>
      </w:r>
      <w:r>
        <w:rPr>
          <w:b/>
          <w:sz w:val="28"/>
          <w:szCs w:val="20"/>
        </w:rPr>
        <w:t>φυσικό</w:t>
      </w:r>
      <w:r w:rsidRPr="009B4DFC">
        <w:rPr>
          <w:b/>
          <w:sz w:val="28"/>
          <w:szCs w:val="20"/>
        </w:rPr>
        <w:t xml:space="preserve"> </w:t>
      </w:r>
      <w:r>
        <w:rPr>
          <w:b/>
          <w:sz w:val="28"/>
          <w:szCs w:val="20"/>
          <w:lang w:val="en-US"/>
        </w:rPr>
        <w:t>pH</w:t>
      </w:r>
      <w:r w:rsidR="009B4DFC">
        <w:rPr>
          <w:b/>
          <w:sz w:val="28"/>
          <w:szCs w:val="20"/>
        </w:rPr>
        <w:t xml:space="preserve"> με τις αντίστοιχες </w:t>
      </w:r>
      <w:r w:rsidR="00E03229">
        <w:rPr>
          <w:b/>
          <w:sz w:val="28"/>
          <w:szCs w:val="20"/>
        </w:rPr>
        <w:t>ο</w:t>
      </w:r>
      <w:r w:rsidR="00721696" w:rsidRPr="00721696">
        <w:rPr>
          <w:b/>
          <w:bCs/>
          <w:sz w:val="28"/>
          <w:szCs w:val="20"/>
        </w:rPr>
        <w:t xml:space="preserve">ριακές τιμές έκπλυσης </w:t>
      </w:r>
      <w:r w:rsidR="0073238D">
        <w:rPr>
          <w:b/>
          <w:bCs/>
          <w:sz w:val="28"/>
          <w:szCs w:val="20"/>
        </w:rPr>
        <w:t>(</w:t>
      </w:r>
      <w:r w:rsidR="0073238D">
        <w:rPr>
          <w:b/>
          <w:bCs/>
          <w:sz w:val="28"/>
          <w:szCs w:val="20"/>
          <w:lang w:val="en-US"/>
        </w:rPr>
        <w:t>mg</w:t>
      </w:r>
      <w:r w:rsidR="0073238D" w:rsidRPr="0073238D">
        <w:rPr>
          <w:b/>
          <w:bCs/>
          <w:sz w:val="28"/>
          <w:szCs w:val="20"/>
        </w:rPr>
        <w:t>/</w:t>
      </w:r>
      <w:r w:rsidR="0073238D">
        <w:rPr>
          <w:b/>
          <w:bCs/>
          <w:sz w:val="28"/>
          <w:szCs w:val="20"/>
          <w:lang w:val="en-US"/>
        </w:rPr>
        <w:t>kg</w:t>
      </w:r>
      <w:r w:rsidR="0073238D" w:rsidRPr="0073238D">
        <w:rPr>
          <w:b/>
          <w:bCs/>
          <w:sz w:val="28"/>
          <w:szCs w:val="20"/>
        </w:rPr>
        <w:t xml:space="preserve">) </w:t>
      </w:r>
      <w:r w:rsidR="005640C9">
        <w:rPr>
          <w:b/>
          <w:bCs/>
          <w:sz w:val="28"/>
          <w:szCs w:val="20"/>
        </w:rPr>
        <w:t>για</w:t>
      </w:r>
      <w:r w:rsidR="00AA61E0" w:rsidRPr="00AA61E0">
        <w:rPr>
          <w:b/>
          <w:bCs/>
          <w:sz w:val="28"/>
          <w:szCs w:val="20"/>
        </w:rPr>
        <w:t xml:space="preserve"> </w:t>
      </w:r>
      <w:r w:rsidR="00AA61E0">
        <w:rPr>
          <w:b/>
          <w:bCs/>
          <w:sz w:val="28"/>
          <w:szCs w:val="20"/>
        </w:rPr>
        <w:t>κοκκώδη απόβλητα και</w:t>
      </w:r>
      <w:r w:rsidR="00721696" w:rsidRPr="00721696">
        <w:rPr>
          <w:b/>
          <w:bCs/>
          <w:sz w:val="28"/>
          <w:szCs w:val="20"/>
        </w:rPr>
        <w:t xml:space="preserve"> </w:t>
      </w:r>
      <w:r w:rsidR="005640C9" w:rsidRPr="007A5D6A">
        <w:rPr>
          <w:b/>
          <w:sz w:val="28"/>
          <w:szCs w:val="20"/>
          <w:lang w:val="en-US"/>
        </w:rPr>
        <w:t>L</w:t>
      </w:r>
      <w:r w:rsidR="005640C9" w:rsidRPr="007A5D6A">
        <w:rPr>
          <w:b/>
          <w:sz w:val="28"/>
          <w:szCs w:val="20"/>
        </w:rPr>
        <w:t>/</w:t>
      </w:r>
      <w:r w:rsidR="005640C9" w:rsidRPr="007A5D6A">
        <w:rPr>
          <w:b/>
          <w:sz w:val="28"/>
          <w:szCs w:val="20"/>
          <w:lang w:val="en-US"/>
        </w:rPr>
        <w:t>S</w:t>
      </w:r>
      <w:r w:rsidR="005640C9" w:rsidRPr="007A5D6A">
        <w:rPr>
          <w:b/>
          <w:sz w:val="28"/>
          <w:szCs w:val="20"/>
        </w:rPr>
        <w:t xml:space="preserve"> =2 </w:t>
      </w:r>
      <w:r w:rsidR="005640C9" w:rsidRPr="007A5D6A">
        <w:rPr>
          <w:b/>
          <w:sz w:val="28"/>
          <w:szCs w:val="20"/>
          <w:lang w:val="en-US"/>
        </w:rPr>
        <w:t>L</w:t>
      </w:r>
      <w:r w:rsidR="005640C9" w:rsidRPr="007A5D6A">
        <w:rPr>
          <w:b/>
          <w:sz w:val="28"/>
          <w:szCs w:val="20"/>
        </w:rPr>
        <w:t>/</w:t>
      </w:r>
      <w:r w:rsidR="005640C9" w:rsidRPr="007A5D6A">
        <w:rPr>
          <w:b/>
          <w:sz w:val="28"/>
          <w:szCs w:val="20"/>
          <w:lang w:val="en-US"/>
        </w:rPr>
        <w:t>kg</w:t>
      </w:r>
      <w:r w:rsidR="00795B1A">
        <w:rPr>
          <w:b/>
          <w:sz w:val="28"/>
          <w:szCs w:val="20"/>
        </w:rPr>
        <w:t>,</w:t>
      </w:r>
      <w:r w:rsidR="00CA5DB1">
        <w:rPr>
          <w:b/>
          <w:sz w:val="28"/>
          <w:szCs w:val="20"/>
        </w:rPr>
        <w:t xml:space="preserve"> για</w:t>
      </w:r>
      <w:r w:rsidR="004C4B2B">
        <w:rPr>
          <w:b/>
          <w:sz w:val="28"/>
          <w:szCs w:val="20"/>
        </w:rPr>
        <w:t xml:space="preserve"> τα τρία είδη ΧΥΤ</w:t>
      </w:r>
      <w:r w:rsidR="005640C9" w:rsidRPr="00721696">
        <w:rPr>
          <w:b/>
          <w:sz w:val="28"/>
          <w:szCs w:val="20"/>
        </w:rPr>
        <w:t xml:space="preserve"> </w:t>
      </w:r>
      <w:r w:rsidR="00721696" w:rsidRPr="00721696">
        <w:rPr>
          <w:bCs/>
          <w:sz w:val="28"/>
          <w:szCs w:val="20"/>
        </w:rPr>
        <w:t>(Πηγή:</w:t>
      </w:r>
      <w:r w:rsidR="00E03229" w:rsidRPr="00257441">
        <w:rPr>
          <w:bCs/>
          <w:sz w:val="28"/>
          <w:szCs w:val="20"/>
        </w:rPr>
        <w:t xml:space="preserve"> </w:t>
      </w:r>
      <w:r w:rsidR="00721696" w:rsidRPr="00257441">
        <w:rPr>
          <w:bCs/>
          <w:sz w:val="28"/>
          <w:szCs w:val="20"/>
        </w:rPr>
        <w:t>Απόφαση 2003/33/ΕΚ)</w:t>
      </w:r>
    </w:p>
    <w:tbl>
      <w:tblPr>
        <w:tblStyle w:val="a4"/>
        <w:tblW w:w="8046" w:type="dxa"/>
        <w:jc w:val="center"/>
        <w:tblLook w:val="04A0" w:firstRow="1" w:lastRow="0" w:firstColumn="1" w:lastColumn="0" w:noHBand="0" w:noVBand="1"/>
      </w:tblPr>
      <w:tblGrid>
        <w:gridCol w:w="1272"/>
        <w:gridCol w:w="1403"/>
        <w:gridCol w:w="1689"/>
        <w:gridCol w:w="1689"/>
        <w:gridCol w:w="1993"/>
      </w:tblGrid>
      <w:tr w:rsidR="00CD17DC" w:rsidRPr="00C27DD0" w14:paraId="59DCCDA4" w14:textId="77777777" w:rsidTr="00795B1A">
        <w:trPr>
          <w:trHeight w:val="863"/>
          <w:jc w:val="center"/>
        </w:trPr>
        <w:tc>
          <w:tcPr>
            <w:tcW w:w="1321" w:type="dxa"/>
          </w:tcPr>
          <w:p w14:paraId="44F5CDCC" w14:textId="78A3AD8D" w:rsidR="00C27DD0" w:rsidRPr="00C27DD0" w:rsidRDefault="00420868" w:rsidP="00795B1A">
            <w:pPr>
              <w:jc w:val="center"/>
              <w:rPr>
                <w:b/>
                <w:sz w:val="28"/>
                <w:szCs w:val="20"/>
              </w:rPr>
            </w:pPr>
            <w:r>
              <w:rPr>
                <w:b/>
                <w:sz w:val="28"/>
                <w:szCs w:val="20"/>
              </w:rPr>
              <w:t>Στοιχείο</w:t>
            </w:r>
          </w:p>
        </w:tc>
        <w:tc>
          <w:tcPr>
            <w:tcW w:w="1557" w:type="dxa"/>
          </w:tcPr>
          <w:p w14:paraId="24E4D391" w14:textId="76256732" w:rsidR="00C27DD0" w:rsidRPr="00C27DD0" w:rsidRDefault="00420868" w:rsidP="00795B1A">
            <w:pPr>
              <w:jc w:val="center"/>
              <w:rPr>
                <w:b/>
                <w:sz w:val="28"/>
                <w:szCs w:val="20"/>
              </w:rPr>
            </w:pPr>
            <w:r>
              <w:rPr>
                <w:b/>
                <w:sz w:val="28"/>
                <w:szCs w:val="20"/>
              </w:rPr>
              <w:t>Όρια για ΧΥΤ αδρανών</w:t>
            </w:r>
          </w:p>
        </w:tc>
        <w:tc>
          <w:tcPr>
            <w:tcW w:w="1500" w:type="dxa"/>
          </w:tcPr>
          <w:p w14:paraId="79952DF3" w14:textId="7092A03F" w:rsidR="00C27DD0" w:rsidRPr="00C27DD0" w:rsidRDefault="00420868" w:rsidP="00795B1A">
            <w:pPr>
              <w:jc w:val="center"/>
              <w:rPr>
                <w:b/>
                <w:sz w:val="28"/>
                <w:szCs w:val="20"/>
              </w:rPr>
            </w:pPr>
            <w:r>
              <w:rPr>
                <w:b/>
                <w:sz w:val="28"/>
                <w:szCs w:val="20"/>
              </w:rPr>
              <w:t>Όρια για ΧΥΤ μη επικινδύνων αποβλήτων</w:t>
            </w:r>
          </w:p>
        </w:tc>
        <w:tc>
          <w:tcPr>
            <w:tcW w:w="1523" w:type="dxa"/>
          </w:tcPr>
          <w:p w14:paraId="7CA3DD60" w14:textId="5250234C" w:rsidR="00C27DD0" w:rsidRPr="00C27DD0" w:rsidRDefault="00420868" w:rsidP="00795B1A">
            <w:pPr>
              <w:jc w:val="center"/>
              <w:rPr>
                <w:b/>
                <w:sz w:val="28"/>
                <w:szCs w:val="20"/>
              </w:rPr>
            </w:pPr>
            <w:r>
              <w:rPr>
                <w:b/>
                <w:sz w:val="28"/>
                <w:szCs w:val="20"/>
              </w:rPr>
              <w:t>Όρια για ΧΥΤ επικινδύνων αποβλήτων</w:t>
            </w:r>
          </w:p>
        </w:tc>
        <w:tc>
          <w:tcPr>
            <w:tcW w:w="2145" w:type="dxa"/>
          </w:tcPr>
          <w:p w14:paraId="3570B06D" w14:textId="1C4D9BA3" w:rsidR="00C27DD0" w:rsidRPr="00C27DD0" w:rsidRDefault="00CD17DC" w:rsidP="00795B1A">
            <w:pPr>
              <w:jc w:val="center"/>
              <w:rPr>
                <w:b/>
                <w:sz w:val="28"/>
                <w:szCs w:val="20"/>
              </w:rPr>
            </w:pPr>
            <w:r>
              <w:rPr>
                <w:b/>
                <w:sz w:val="28"/>
                <w:szCs w:val="20"/>
              </w:rPr>
              <w:t>Πειραματικές τιμές έκπλυσης (</w:t>
            </w:r>
            <w:r>
              <w:rPr>
                <w:b/>
                <w:sz w:val="28"/>
                <w:szCs w:val="20"/>
                <w:lang w:val="en-US"/>
              </w:rPr>
              <w:t>mg</w:t>
            </w:r>
            <w:r w:rsidRPr="00CD17DC">
              <w:rPr>
                <w:b/>
                <w:sz w:val="28"/>
                <w:szCs w:val="20"/>
              </w:rPr>
              <w:t>/</w:t>
            </w:r>
            <w:r>
              <w:rPr>
                <w:b/>
                <w:sz w:val="28"/>
                <w:szCs w:val="20"/>
                <w:lang w:val="en-US"/>
              </w:rPr>
              <w:t>kg</w:t>
            </w:r>
            <w:r w:rsidRPr="00CD17DC">
              <w:rPr>
                <w:b/>
                <w:sz w:val="28"/>
                <w:szCs w:val="20"/>
              </w:rPr>
              <w:t>)</w:t>
            </w:r>
          </w:p>
        </w:tc>
      </w:tr>
      <w:tr w:rsidR="00CD17DC" w:rsidRPr="00C27DD0" w14:paraId="5D6283DA" w14:textId="77777777" w:rsidTr="00795B1A">
        <w:trPr>
          <w:trHeight w:val="284"/>
          <w:jc w:val="center"/>
        </w:trPr>
        <w:tc>
          <w:tcPr>
            <w:tcW w:w="1321" w:type="dxa"/>
          </w:tcPr>
          <w:p w14:paraId="06C9F2A2" w14:textId="77777777" w:rsidR="00C27DD0" w:rsidRPr="00C27DD0" w:rsidRDefault="00C27DD0" w:rsidP="00795B1A">
            <w:pPr>
              <w:jc w:val="center"/>
              <w:rPr>
                <w:bCs/>
                <w:sz w:val="28"/>
                <w:szCs w:val="20"/>
                <w:lang w:val="en-US"/>
              </w:rPr>
            </w:pPr>
            <w:r w:rsidRPr="00C27DD0">
              <w:rPr>
                <w:bCs/>
                <w:sz w:val="28"/>
                <w:szCs w:val="20"/>
                <w:lang w:val="en-US"/>
              </w:rPr>
              <w:t>Cd</w:t>
            </w:r>
          </w:p>
        </w:tc>
        <w:tc>
          <w:tcPr>
            <w:tcW w:w="1557" w:type="dxa"/>
          </w:tcPr>
          <w:p w14:paraId="0C6DF377" w14:textId="0985508D" w:rsidR="00C27DD0" w:rsidRPr="00C27DD0" w:rsidRDefault="00C27DD0" w:rsidP="00795B1A">
            <w:pPr>
              <w:jc w:val="center"/>
              <w:rPr>
                <w:bCs/>
                <w:sz w:val="28"/>
                <w:szCs w:val="20"/>
                <w:lang w:val="en-US"/>
              </w:rPr>
            </w:pPr>
            <w:r w:rsidRPr="00C27DD0">
              <w:rPr>
                <w:bCs/>
                <w:sz w:val="28"/>
                <w:szCs w:val="20"/>
                <w:lang w:val="en-US"/>
              </w:rPr>
              <w:t>0</w:t>
            </w:r>
            <w:r w:rsidR="00050582">
              <w:rPr>
                <w:bCs/>
                <w:sz w:val="28"/>
                <w:szCs w:val="20"/>
              </w:rPr>
              <w:t>,</w:t>
            </w:r>
            <w:r w:rsidRPr="00C27DD0">
              <w:rPr>
                <w:bCs/>
                <w:sz w:val="28"/>
                <w:szCs w:val="20"/>
                <w:lang w:val="en-US"/>
              </w:rPr>
              <w:t>03</w:t>
            </w:r>
          </w:p>
        </w:tc>
        <w:tc>
          <w:tcPr>
            <w:tcW w:w="1500" w:type="dxa"/>
          </w:tcPr>
          <w:p w14:paraId="7121E210" w14:textId="4E305CC2" w:rsidR="00C27DD0" w:rsidRPr="00C27DD0" w:rsidRDefault="00C27DD0" w:rsidP="00795B1A">
            <w:pPr>
              <w:jc w:val="center"/>
              <w:rPr>
                <w:bCs/>
                <w:sz w:val="28"/>
                <w:szCs w:val="20"/>
                <w:lang w:val="en-US"/>
              </w:rPr>
            </w:pPr>
            <w:r w:rsidRPr="00C27DD0">
              <w:rPr>
                <w:bCs/>
                <w:sz w:val="28"/>
                <w:szCs w:val="20"/>
                <w:lang w:val="en-US"/>
              </w:rPr>
              <w:t>0</w:t>
            </w:r>
            <w:r w:rsidR="00050582">
              <w:rPr>
                <w:bCs/>
                <w:sz w:val="28"/>
                <w:szCs w:val="20"/>
              </w:rPr>
              <w:t>,</w:t>
            </w:r>
            <w:r w:rsidRPr="00C27DD0">
              <w:rPr>
                <w:bCs/>
                <w:sz w:val="28"/>
                <w:szCs w:val="20"/>
                <w:lang w:val="en-US"/>
              </w:rPr>
              <w:t>6</w:t>
            </w:r>
          </w:p>
        </w:tc>
        <w:tc>
          <w:tcPr>
            <w:tcW w:w="1523" w:type="dxa"/>
          </w:tcPr>
          <w:p w14:paraId="3BEA64BE" w14:textId="77777777" w:rsidR="00C27DD0" w:rsidRPr="00C27DD0" w:rsidRDefault="00C27DD0" w:rsidP="00795B1A">
            <w:pPr>
              <w:jc w:val="center"/>
              <w:rPr>
                <w:bCs/>
                <w:sz w:val="28"/>
                <w:szCs w:val="20"/>
                <w:lang w:val="en-US"/>
              </w:rPr>
            </w:pPr>
            <w:r w:rsidRPr="00C27DD0">
              <w:rPr>
                <w:bCs/>
                <w:sz w:val="28"/>
                <w:szCs w:val="20"/>
                <w:lang w:val="en-US"/>
              </w:rPr>
              <w:t>3</w:t>
            </w:r>
          </w:p>
        </w:tc>
        <w:tc>
          <w:tcPr>
            <w:tcW w:w="2145" w:type="dxa"/>
          </w:tcPr>
          <w:p w14:paraId="2A279A47" w14:textId="6E7F2A40" w:rsidR="00C27DD0" w:rsidRPr="00C27DD0" w:rsidRDefault="00C27DD0" w:rsidP="00795B1A">
            <w:pPr>
              <w:jc w:val="center"/>
              <w:rPr>
                <w:bCs/>
                <w:sz w:val="28"/>
                <w:szCs w:val="20"/>
                <w:lang w:val="en-US"/>
              </w:rPr>
            </w:pPr>
            <w:r w:rsidRPr="00C27DD0">
              <w:rPr>
                <w:bCs/>
                <w:sz w:val="28"/>
                <w:szCs w:val="20"/>
                <w:lang w:val="en-US"/>
              </w:rPr>
              <w:t>0</w:t>
            </w:r>
            <w:r w:rsidR="00050582">
              <w:rPr>
                <w:bCs/>
                <w:sz w:val="28"/>
                <w:szCs w:val="20"/>
              </w:rPr>
              <w:t>,</w:t>
            </w:r>
            <w:r w:rsidRPr="00C27DD0">
              <w:rPr>
                <w:bCs/>
                <w:sz w:val="28"/>
                <w:szCs w:val="20"/>
                <w:lang w:val="en-US"/>
              </w:rPr>
              <w:t>53</w:t>
            </w:r>
          </w:p>
        </w:tc>
      </w:tr>
      <w:tr w:rsidR="00CD17DC" w:rsidRPr="00C27DD0" w14:paraId="306D2AFE" w14:textId="77777777" w:rsidTr="00795B1A">
        <w:trPr>
          <w:trHeight w:val="284"/>
          <w:jc w:val="center"/>
        </w:trPr>
        <w:tc>
          <w:tcPr>
            <w:tcW w:w="1321" w:type="dxa"/>
          </w:tcPr>
          <w:p w14:paraId="27691E22" w14:textId="77777777" w:rsidR="00C27DD0" w:rsidRPr="00C27DD0" w:rsidRDefault="00C27DD0" w:rsidP="00795B1A">
            <w:pPr>
              <w:jc w:val="center"/>
              <w:rPr>
                <w:bCs/>
                <w:sz w:val="28"/>
                <w:szCs w:val="20"/>
                <w:lang w:val="en-US"/>
              </w:rPr>
            </w:pPr>
            <w:r w:rsidRPr="00C27DD0">
              <w:rPr>
                <w:bCs/>
                <w:sz w:val="28"/>
                <w:szCs w:val="20"/>
                <w:lang w:val="en-US"/>
              </w:rPr>
              <w:t>Cr</w:t>
            </w:r>
          </w:p>
        </w:tc>
        <w:tc>
          <w:tcPr>
            <w:tcW w:w="1557" w:type="dxa"/>
          </w:tcPr>
          <w:p w14:paraId="06B5D353" w14:textId="140C9D07" w:rsidR="00C27DD0" w:rsidRPr="00C27DD0" w:rsidRDefault="00C27DD0" w:rsidP="00795B1A">
            <w:pPr>
              <w:jc w:val="center"/>
              <w:rPr>
                <w:bCs/>
                <w:sz w:val="28"/>
                <w:szCs w:val="20"/>
                <w:lang w:val="en-US"/>
              </w:rPr>
            </w:pPr>
            <w:r w:rsidRPr="00C27DD0">
              <w:rPr>
                <w:bCs/>
                <w:sz w:val="28"/>
                <w:szCs w:val="20"/>
                <w:lang w:val="en-US"/>
              </w:rPr>
              <w:t>0</w:t>
            </w:r>
            <w:r w:rsidR="00050582">
              <w:rPr>
                <w:bCs/>
                <w:sz w:val="28"/>
                <w:szCs w:val="20"/>
              </w:rPr>
              <w:t>,</w:t>
            </w:r>
            <w:r w:rsidRPr="00C27DD0">
              <w:rPr>
                <w:bCs/>
                <w:sz w:val="28"/>
                <w:szCs w:val="20"/>
                <w:lang w:val="en-US"/>
              </w:rPr>
              <w:t>2</w:t>
            </w:r>
          </w:p>
        </w:tc>
        <w:tc>
          <w:tcPr>
            <w:tcW w:w="1500" w:type="dxa"/>
          </w:tcPr>
          <w:p w14:paraId="0878C9E2" w14:textId="77777777" w:rsidR="00C27DD0" w:rsidRPr="00C27DD0" w:rsidRDefault="00C27DD0" w:rsidP="00795B1A">
            <w:pPr>
              <w:jc w:val="center"/>
              <w:rPr>
                <w:bCs/>
                <w:sz w:val="28"/>
                <w:szCs w:val="20"/>
                <w:lang w:val="en-US"/>
              </w:rPr>
            </w:pPr>
            <w:r w:rsidRPr="00C27DD0">
              <w:rPr>
                <w:bCs/>
                <w:sz w:val="28"/>
                <w:szCs w:val="20"/>
                <w:lang w:val="en-US"/>
              </w:rPr>
              <w:t>4</w:t>
            </w:r>
          </w:p>
        </w:tc>
        <w:tc>
          <w:tcPr>
            <w:tcW w:w="1523" w:type="dxa"/>
          </w:tcPr>
          <w:p w14:paraId="1CE59575" w14:textId="77777777" w:rsidR="00C27DD0" w:rsidRPr="00C27DD0" w:rsidRDefault="00C27DD0" w:rsidP="00795B1A">
            <w:pPr>
              <w:jc w:val="center"/>
              <w:rPr>
                <w:bCs/>
                <w:sz w:val="28"/>
                <w:szCs w:val="20"/>
                <w:lang w:val="en-US"/>
              </w:rPr>
            </w:pPr>
            <w:r w:rsidRPr="00C27DD0">
              <w:rPr>
                <w:bCs/>
                <w:sz w:val="28"/>
                <w:szCs w:val="20"/>
                <w:lang w:val="en-US"/>
              </w:rPr>
              <w:t>25</w:t>
            </w:r>
          </w:p>
        </w:tc>
        <w:tc>
          <w:tcPr>
            <w:tcW w:w="2145" w:type="dxa"/>
          </w:tcPr>
          <w:p w14:paraId="2EA35F61" w14:textId="446F21B8" w:rsidR="00C27DD0" w:rsidRPr="00C27DD0" w:rsidRDefault="00C27DD0" w:rsidP="00795B1A">
            <w:pPr>
              <w:jc w:val="center"/>
              <w:rPr>
                <w:b/>
                <w:sz w:val="28"/>
                <w:szCs w:val="20"/>
                <w:lang w:val="en-US"/>
              </w:rPr>
            </w:pPr>
            <w:r w:rsidRPr="00C27DD0">
              <w:rPr>
                <w:b/>
                <w:color w:val="EE0000"/>
                <w:sz w:val="28"/>
                <w:szCs w:val="20"/>
                <w:lang w:val="en-US"/>
              </w:rPr>
              <w:t>23</w:t>
            </w:r>
            <w:r w:rsidR="00050582" w:rsidRPr="00CC5615">
              <w:rPr>
                <w:b/>
                <w:color w:val="EE0000"/>
                <w:sz w:val="28"/>
                <w:szCs w:val="20"/>
              </w:rPr>
              <w:t>,</w:t>
            </w:r>
            <w:r w:rsidRPr="00C27DD0">
              <w:rPr>
                <w:b/>
                <w:color w:val="EE0000"/>
                <w:sz w:val="28"/>
                <w:szCs w:val="20"/>
                <w:lang w:val="en-US"/>
              </w:rPr>
              <w:t>7</w:t>
            </w:r>
          </w:p>
        </w:tc>
      </w:tr>
      <w:tr w:rsidR="00CD17DC" w:rsidRPr="00C27DD0" w14:paraId="7207364C" w14:textId="77777777" w:rsidTr="00795B1A">
        <w:trPr>
          <w:trHeight w:val="284"/>
          <w:jc w:val="center"/>
        </w:trPr>
        <w:tc>
          <w:tcPr>
            <w:tcW w:w="1321" w:type="dxa"/>
          </w:tcPr>
          <w:p w14:paraId="6717206C" w14:textId="77777777" w:rsidR="00C27DD0" w:rsidRPr="00C27DD0" w:rsidRDefault="00C27DD0" w:rsidP="00795B1A">
            <w:pPr>
              <w:jc w:val="center"/>
              <w:rPr>
                <w:bCs/>
                <w:sz w:val="28"/>
                <w:szCs w:val="20"/>
                <w:lang w:val="en-US"/>
              </w:rPr>
            </w:pPr>
            <w:r w:rsidRPr="00C27DD0">
              <w:rPr>
                <w:bCs/>
                <w:sz w:val="28"/>
                <w:szCs w:val="20"/>
                <w:lang w:val="en-US"/>
              </w:rPr>
              <w:t>Cu</w:t>
            </w:r>
          </w:p>
        </w:tc>
        <w:tc>
          <w:tcPr>
            <w:tcW w:w="1557" w:type="dxa"/>
          </w:tcPr>
          <w:p w14:paraId="7D43BA61" w14:textId="42E96EC8" w:rsidR="00C27DD0" w:rsidRPr="00C27DD0" w:rsidRDefault="00C27DD0" w:rsidP="00795B1A">
            <w:pPr>
              <w:jc w:val="center"/>
              <w:rPr>
                <w:bCs/>
                <w:sz w:val="28"/>
                <w:szCs w:val="20"/>
                <w:lang w:val="en-US"/>
              </w:rPr>
            </w:pPr>
            <w:r w:rsidRPr="00C27DD0">
              <w:rPr>
                <w:bCs/>
                <w:sz w:val="28"/>
                <w:szCs w:val="20"/>
                <w:lang w:val="en-US"/>
              </w:rPr>
              <w:t>0</w:t>
            </w:r>
            <w:r w:rsidR="00050582">
              <w:rPr>
                <w:bCs/>
                <w:sz w:val="28"/>
                <w:szCs w:val="20"/>
              </w:rPr>
              <w:t>,</w:t>
            </w:r>
            <w:r w:rsidRPr="00C27DD0">
              <w:rPr>
                <w:bCs/>
                <w:sz w:val="28"/>
                <w:szCs w:val="20"/>
                <w:lang w:val="en-US"/>
              </w:rPr>
              <w:t>9</w:t>
            </w:r>
          </w:p>
        </w:tc>
        <w:tc>
          <w:tcPr>
            <w:tcW w:w="1500" w:type="dxa"/>
          </w:tcPr>
          <w:p w14:paraId="2A5211B4" w14:textId="77777777" w:rsidR="00C27DD0" w:rsidRPr="00C27DD0" w:rsidRDefault="00C27DD0" w:rsidP="00795B1A">
            <w:pPr>
              <w:jc w:val="center"/>
              <w:rPr>
                <w:bCs/>
                <w:sz w:val="28"/>
                <w:szCs w:val="20"/>
                <w:lang w:val="en-US"/>
              </w:rPr>
            </w:pPr>
            <w:r w:rsidRPr="00C27DD0">
              <w:rPr>
                <w:bCs/>
                <w:sz w:val="28"/>
                <w:szCs w:val="20"/>
                <w:lang w:val="en-US"/>
              </w:rPr>
              <w:t>25</w:t>
            </w:r>
          </w:p>
        </w:tc>
        <w:tc>
          <w:tcPr>
            <w:tcW w:w="1523" w:type="dxa"/>
          </w:tcPr>
          <w:p w14:paraId="297DE09D" w14:textId="77777777" w:rsidR="00C27DD0" w:rsidRPr="00C27DD0" w:rsidRDefault="00C27DD0" w:rsidP="00795B1A">
            <w:pPr>
              <w:jc w:val="center"/>
              <w:rPr>
                <w:bCs/>
                <w:sz w:val="28"/>
                <w:szCs w:val="20"/>
                <w:lang w:val="en-US"/>
              </w:rPr>
            </w:pPr>
            <w:r w:rsidRPr="00C27DD0">
              <w:rPr>
                <w:bCs/>
                <w:sz w:val="28"/>
                <w:szCs w:val="20"/>
                <w:lang w:val="en-US"/>
              </w:rPr>
              <w:t>50</w:t>
            </w:r>
          </w:p>
        </w:tc>
        <w:tc>
          <w:tcPr>
            <w:tcW w:w="2145" w:type="dxa"/>
          </w:tcPr>
          <w:p w14:paraId="5D1E9FAE" w14:textId="5D4E5DD3" w:rsidR="00C27DD0" w:rsidRPr="00C27DD0" w:rsidRDefault="00C27DD0" w:rsidP="00795B1A">
            <w:pPr>
              <w:jc w:val="center"/>
              <w:rPr>
                <w:bCs/>
                <w:sz w:val="28"/>
                <w:szCs w:val="20"/>
                <w:lang w:val="en-US"/>
              </w:rPr>
            </w:pPr>
            <w:r w:rsidRPr="00C27DD0">
              <w:rPr>
                <w:bCs/>
                <w:sz w:val="28"/>
                <w:szCs w:val="20"/>
                <w:lang w:val="en-US"/>
              </w:rPr>
              <w:t>1</w:t>
            </w:r>
            <w:r w:rsidR="00050582">
              <w:rPr>
                <w:bCs/>
                <w:sz w:val="28"/>
                <w:szCs w:val="20"/>
              </w:rPr>
              <w:t>,</w:t>
            </w:r>
            <w:r w:rsidRPr="00C27DD0">
              <w:rPr>
                <w:bCs/>
                <w:sz w:val="28"/>
                <w:szCs w:val="20"/>
                <w:lang w:val="en-US"/>
              </w:rPr>
              <w:t>57</w:t>
            </w:r>
          </w:p>
        </w:tc>
      </w:tr>
      <w:tr w:rsidR="00CD17DC" w:rsidRPr="00C27DD0" w14:paraId="23B47849" w14:textId="77777777" w:rsidTr="00795B1A">
        <w:trPr>
          <w:trHeight w:val="80"/>
          <w:jc w:val="center"/>
        </w:trPr>
        <w:tc>
          <w:tcPr>
            <w:tcW w:w="1321" w:type="dxa"/>
          </w:tcPr>
          <w:p w14:paraId="19BAF4DA" w14:textId="77777777" w:rsidR="00C27DD0" w:rsidRPr="00C27DD0" w:rsidRDefault="00C27DD0" w:rsidP="00795B1A">
            <w:pPr>
              <w:jc w:val="center"/>
              <w:rPr>
                <w:bCs/>
                <w:sz w:val="28"/>
                <w:szCs w:val="20"/>
                <w:lang w:val="en-US"/>
              </w:rPr>
            </w:pPr>
            <w:r w:rsidRPr="00C27DD0">
              <w:rPr>
                <w:bCs/>
                <w:sz w:val="28"/>
                <w:szCs w:val="20"/>
                <w:lang w:val="en-US"/>
              </w:rPr>
              <w:t>Ni</w:t>
            </w:r>
          </w:p>
        </w:tc>
        <w:tc>
          <w:tcPr>
            <w:tcW w:w="1557" w:type="dxa"/>
          </w:tcPr>
          <w:p w14:paraId="345010C2" w14:textId="4443B9BC" w:rsidR="00C27DD0" w:rsidRPr="00C27DD0" w:rsidRDefault="00C27DD0" w:rsidP="00795B1A">
            <w:pPr>
              <w:jc w:val="center"/>
              <w:rPr>
                <w:bCs/>
                <w:sz w:val="28"/>
                <w:szCs w:val="20"/>
                <w:lang w:val="en-US"/>
              </w:rPr>
            </w:pPr>
            <w:r w:rsidRPr="00C27DD0">
              <w:rPr>
                <w:bCs/>
                <w:sz w:val="28"/>
                <w:szCs w:val="20"/>
                <w:lang w:val="en-US"/>
              </w:rPr>
              <w:t>0</w:t>
            </w:r>
            <w:r w:rsidR="00050582">
              <w:rPr>
                <w:bCs/>
                <w:sz w:val="28"/>
                <w:szCs w:val="20"/>
              </w:rPr>
              <w:t>,</w:t>
            </w:r>
            <w:r w:rsidRPr="00C27DD0">
              <w:rPr>
                <w:bCs/>
                <w:sz w:val="28"/>
                <w:szCs w:val="20"/>
                <w:lang w:val="en-US"/>
              </w:rPr>
              <w:t>2</w:t>
            </w:r>
          </w:p>
        </w:tc>
        <w:tc>
          <w:tcPr>
            <w:tcW w:w="1500" w:type="dxa"/>
          </w:tcPr>
          <w:p w14:paraId="7E9FB9D7" w14:textId="77777777" w:rsidR="00C27DD0" w:rsidRPr="00C27DD0" w:rsidRDefault="00C27DD0" w:rsidP="00795B1A">
            <w:pPr>
              <w:jc w:val="center"/>
              <w:rPr>
                <w:bCs/>
                <w:sz w:val="28"/>
                <w:szCs w:val="20"/>
                <w:lang w:val="en-US"/>
              </w:rPr>
            </w:pPr>
            <w:r w:rsidRPr="00C27DD0">
              <w:rPr>
                <w:bCs/>
                <w:sz w:val="28"/>
                <w:szCs w:val="20"/>
                <w:lang w:val="en-US"/>
              </w:rPr>
              <w:t>5</w:t>
            </w:r>
          </w:p>
        </w:tc>
        <w:tc>
          <w:tcPr>
            <w:tcW w:w="1523" w:type="dxa"/>
          </w:tcPr>
          <w:p w14:paraId="50A9655D" w14:textId="77777777" w:rsidR="00C27DD0" w:rsidRPr="00C27DD0" w:rsidRDefault="00C27DD0" w:rsidP="00795B1A">
            <w:pPr>
              <w:jc w:val="center"/>
              <w:rPr>
                <w:bCs/>
                <w:sz w:val="28"/>
                <w:szCs w:val="20"/>
                <w:lang w:val="en-US"/>
              </w:rPr>
            </w:pPr>
            <w:r w:rsidRPr="00C27DD0">
              <w:rPr>
                <w:bCs/>
                <w:sz w:val="28"/>
                <w:szCs w:val="20"/>
                <w:lang w:val="en-US"/>
              </w:rPr>
              <w:t>20</w:t>
            </w:r>
          </w:p>
        </w:tc>
        <w:tc>
          <w:tcPr>
            <w:tcW w:w="2145" w:type="dxa"/>
          </w:tcPr>
          <w:p w14:paraId="0DA28F28" w14:textId="15D3FE9A" w:rsidR="00C27DD0" w:rsidRPr="00C27DD0" w:rsidRDefault="00C27DD0" w:rsidP="00795B1A">
            <w:pPr>
              <w:jc w:val="center"/>
              <w:rPr>
                <w:bCs/>
                <w:sz w:val="28"/>
                <w:szCs w:val="20"/>
                <w:lang w:val="en-US"/>
              </w:rPr>
            </w:pPr>
            <w:r w:rsidRPr="00C27DD0">
              <w:rPr>
                <w:bCs/>
                <w:sz w:val="28"/>
                <w:szCs w:val="20"/>
                <w:lang w:val="en-US"/>
              </w:rPr>
              <w:t>2</w:t>
            </w:r>
            <w:r w:rsidR="00050582">
              <w:rPr>
                <w:bCs/>
                <w:sz w:val="28"/>
                <w:szCs w:val="20"/>
              </w:rPr>
              <w:t>,</w:t>
            </w:r>
            <w:r w:rsidRPr="00C27DD0">
              <w:rPr>
                <w:bCs/>
                <w:sz w:val="28"/>
                <w:szCs w:val="20"/>
                <w:lang w:val="en-US"/>
              </w:rPr>
              <w:t>63</w:t>
            </w:r>
          </w:p>
        </w:tc>
      </w:tr>
      <w:tr w:rsidR="00CD17DC" w:rsidRPr="00C27DD0" w14:paraId="4E6495D0" w14:textId="77777777" w:rsidTr="00795B1A">
        <w:trPr>
          <w:trHeight w:val="284"/>
          <w:jc w:val="center"/>
        </w:trPr>
        <w:tc>
          <w:tcPr>
            <w:tcW w:w="1321" w:type="dxa"/>
          </w:tcPr>
          <w:p w14:paraId="5D774E6D" w14:textId="77777777" w:rsidR="00C27DD0" w:rsidRPr="00C27DD0" w:rsidRDefault="00C27DD0" w:rsidP="00795B1A">
            <w:pPr>
              <w:jc w:val="center"/>
              <w:rPr>
                <w:bCs/>
                <w:sz w:val="28"/>
                <w:szCs w:val="20"/>
                <w:lang w:val="en-US"/>
              </w:rPr>
            </w:pPr>
            <w:r w:rsidRPr="00C27DD0">
              <w:rPr>
                <w:bCs/>
                <w:sz w:val="28"/>
                <w:szCs w:val="20"/>
                <w:lang w:val="en-US"/>
              </w:rPr>
              <w:t>Pb</w:t>
            </w:r>
          </w:p>
        </w:tc>
        <w:tc>
          <w:tcPr>
            <w:tcW w:w="1557" w:type="dxa"/>
          </w:tcPr>
          <w:p w14:paraId="4508977F" w14:textId="2ED26892" w:rsidR="00C27DD0" w:rsidRPr="00C27DD0" w:rsidRDefault="00C27DD0" w:rsidP="00795B1A">
            <w:pPr>
              <w:jc w:val="center"/>
              <w:rPr>
                <w:bCs/>
                <w:sz w:val="28"/>
                <w:szCs w:val="20"/>
                <w:lang w:val="en-US"/>
              </w:rPr>
            </w:pPr>
            <w:r w:rsidRPr="00C27DD0">
              <w:rPr>
                <w:bCs/>
                <w:sz w:val="28"/>
                <w:szCs w:val="20"/>
              </w:rPr>
              <w:t>0</w:t>
            </w:r>
            <w:r w:rsidR="00050582">
              <w:rPr>
                <w:bCs/>
                <w:sz w:val="28"/>
                <w:szCs w:val="20"/>
              </w:rPr>
              <w:t>,</w:t>
            </w:r>
            <w:r w:rsidRPr="00C27DD0">
              <w:rPr>
                <w:bCs/>
                <w:sz w:val="28"/>
                <w:szCs w:val="20"/>
                <w:lang w:val="en-US"/>
              </w:rPr>
              <w:t>2</w:t>
            </w:r>
          </w:p>
        </w:tc>
        <w:tc>
          <w:tcPr>
            <w:tcW w:w="1500" w:type="dxa"/>
          </w:tcPr>
          <w:p w14:paraId="75A8AC30" w14:textId="77777777" w:rsidR="00C27DD0" w:rsidRPr="00C27DD0" w:rsidRDefault="00C27DD0" w:rsidP="00795B1A">
            <w:pPr>
              <w:jc w:val="center"/>
              <w:rPr>
                <w:bCs/>
                <w:sz w:val="28"/>
                <w:szCs w:val="20"/>
                <w:lang w:val="en-US"/>
              </w:rPr>
            </w:pPr>
            <w:r w:rsidRPr="00C27DD0">
              <w:rPr>
                <w:bCs/>
                <w:sz w:val="28"/>
                <w:szCs w:val="20"/>
                <w:lang w:val="en-US"/>
              </w:rPr>
              <w:t>5</w:t>
            </w:r>
          </w:p>
        </w:tc>
        <w:tc>
          <w:tcPr>
            <w:tcW w:w="1523" w:type="dxa"/>
          </w:tcPr>
          <w:p w14:paraId="62E2B176" w14:textId="77777777" w:rsidR="00C27DD0" w:rsidRPr="00C27DD0" w:rsidRDefault="00C27DD0" w:rsidP="00795B1A">
            <w:pPr>
              <w:jc w:val="center"/>
              <w:rPr>
                <w:bCs/>
                <w:sz w:val="28"/>
                <w:szCs w:val="20"/>
                <w:lang w:val="en-US"/>
              </w:rPr>
            </w:pPr>
            <w:r w:rsidRPr="00C27DD0">
              <w:rPr>
                <w:bCs/>
                <w:sz w:val="28"/>
                <w:szCs w:val="20"/>
                <w:lang w:val="en-US"/>
              </w:rPr>
              <w:t>25</w:t>
            </w:r>
          </w:p>
        </w:tc>
        <w:tc>
          <w:tcPr>
            <w:tcW w:w="2145" w:type="dxa"/>
          </w:tcPr>
          <w:p w14:paraId="2DBED7CE" w14:textId="6F902F0A" w:rsidR="00C27DD0" w:rsidRPr="00C27DD0" w:rsidRDefault="00C27DD0" w:rsidP="00795B1A">
            <w:pPr>
              <w:jc w:val="center"/>
              <w:rPr>
                <w:b/>
                <w:sz w:val="28"/>
                <w:szCs w:val="20"/>
                <w:lang w:val="en-US"/>
              </w:rPr>
            </w:pPr>
            <w:r w:rsidRPr="00C27DD0">
              <w:rPr>
                <w:b/>
                <w:color w:val="EE0000"/>
                <w:sz w:val="28"/>
                <w:szCs w:val="20"/>
                <w:lang w:val="en-US"/>
              </w:rPr>
              <w:t>11</w:t>
            </w:r>
            <w:r w:rsidR="00050582" w:rsidRPr="00CC5615">
              <w:rPr>
                <w:b/>
                <w:color w:val="EE0000"/>
                <w:sz w:val="28"/>
                <w:szCs w:val="20"/>
              </w:rPr>
              <w:t>,</w:t>
            </w:r>
            <w:r w:rsidRPr="00C27DD0">
              <w:rPr>
                <w:b/>
                <w:color w:val="EE0000"/>
                <w:sz w:val="28"/>
                <w:szCs w:val="20"/>
                <w:lang w:val="en-US"/>
              </w:rPr>
              <w:t>9</w:t>
            </w:r>
          </w:p>
        </w:tc>
      </w:tr>
      <w:tr w:rsidR="00CD17DC" w:rsidRPr="00C27DD0" w14:paraId="3D4791EA" w14:textId="77777777" w:rsidTr="00795B1A">
        <w:trPr>
          <w:trHeight w:val="284"/>
          <w:jc w:val="center"/>
        </w:trPr>
        <w:tc>
          <w:tcPr>
            <w:tcW w:w="1321" w:type="dxa"/>
          </w:tcPr>
          <w:p w14:paraId="03D428CE" w14:textId="77777777" w:rsidR="00C27DD0" w:rsidRPr="00C27DD0" w:rsidRDefault="00C27DD0" w:rsidP="00795B1A">
            <w:pPr>
              <w:jc w:val="center"/>
              <w:rPr>
                <w:bCs/>
                <w:sz w:val="28"/>
                <w:szCs w:val="20"/>
                <w:lang w:val="en-US"/>
              </w:rPr>
            </w:pPr>
            <w:r w:rsidRPr="00C27DD0">
              <w:rPr>
                <w:bCs/>
                <w:sz w:val="28"/>
                <w:szCs w:val="20"/>
                <w:lang w:val="en-US"/>
              </w:rPr>
              <w:t>Zn</w:t>
            </w:r>
          </w:p>
        </w:tc>
        <w:tc>
          <w:tcPr>
            <w:tcW w:w="1557" w:type="dxa"/>
          </w:tcPr>
          <w:p w14:paraId="7D2E0AF3" w14:textId="77777777" w:rsidR="00C27DD0" w:rsidRPr="00C27DD0" w:rsidRDefault="00C27DD0" w:rsidP="00795B1A">
            <w:pPr>
              <w:jc w:val="center"/>
              <w:rPr>
                <w:bCs/>
                <w:sz w:val="28"/>
                <w:szCs w:val="20"/>
                <w:lang w:val="en-US"/>
              </w:rPr>
            </w:pPr>
            <w:r w:rsidRPr="00C27DD0">
              <w:rPr>
                <w:bCs/>
                <w:sz w:val="28"/>
                <w:szCs w:val="20"/>
                <w:lang w:val="en-US"/>
              </w:rPr>
              <w:t>2</w:t>
            </w:r>
          </w:p>
        </w:tc>
        <w:tc>
          <w:tcPr>
            <w:tcW w:w="1500" w:type="dxa"/>
          </w:tcPr>
          <w:p w14:paraId="6A66FB3E" w14:textId="77777777" w:rsidR="00C27DD0" w:rsidRPr="00C27DD0" w:rsidRDefault="00C27DD0" w:rsidP="00795B1A">
            <w:pPr>
              <w:jc w:val="center"/>
              <w:rPr>
                <w:bCs/>
                <w:sz w:val="28"/>
                <w:szCs w:val="20"/>
                <w:lang w:val="en-US"/>
              </w:rPr>
            </w:pPr>
            <w:r w:rsidRPr="00C27DD0">
              <w:rPr>
                <w:bCs/>
                <w:sz w:val="28"/>
                <w:szCs w:val="20"/>
                <w:lang w:val="en-US"/>
              </w:rPr>
              <w:t>25</w:t>
            </w:r>
          </w:p>
        </w:tc>
        <w:tc>
          <w:tcPr>
            <w:tcW w:w="1523" w:type="dxa"/>
          </w:tcPr>
          <w:p w14:paraId="0BC17A2E" w14:textId="77777777" w:rsidR="00C27DD0" w:rsidRPr="00C27DD0" w:rsidRDefault="00C27DD0" w:rsidP="00795B1A">
            <w:pPr>
              <w:jc w:val="center"/>
              <w:rPr>
                <w:bCs/>
                <w:sz w:val="28"/>
                <w:szCs w:val="20"/>
                <w:lang w:val="en-US"/>
              </w:rPr>
            </w:pPr>
            <w:r w:rsidRPr="00C27DD0">
              <w:rPr>
                <w:bCs/>
                <w:sz w:val="28"/>
                <w:szCs w:val="20"/>
                <w:lang w:val="en-US"/>
              </w:rPr>
              <w:t>90</w:t>
            </w:r>
          </w:p>
        </w:tc>
        <w:tc>
          <w:tcPr>
            <w:tcW w:w="2145" w:type="dxa"/>
          </w:tcPr>
          <w:p w14:paraId="1878E578" w14:textId="31FF3B5B" w:rsidR="00C27DD0" w:rsidRPr="00C27DD0" w:rsidRDefault="00C27DD0" w:rsidP="00795B1A">
            <w:pPr>
              <w:jc w:val="center"/>
              <w:rPr>
                <w:bCs/>
                <w:sz w:val="28"/>
                <w:szCs w:val="20"/>
                <w:lang w:val="en-US"/>
              </w:rPr>
            </w:pPr>
            <w:r w:rsidRPr="00C27DD0">
              <w:rPr>
                <w:bCs/>
                <w:sz w:val="28"/>
                <w:szCs w:val="20"/>
                <w:lang w:val="en-US"/>
              </w:rPr>
              <w:t>1</w:t>
            </w:r>
            <w:r w:rsidR="00050582">
              <w:rPr>
                <w:bCs/>
                <w:sz w:val="28"/>
                <w:szCs w:val="20"/>
              </w:rPr>
              <w:t>,</w:t>
            </w:r>
            <w:r w:rsidRPr="00C27DD0">
              <w:rPr>
                <w:bCs/>
                <w:sz w:val="28"/>
                <w:szCs w:val="20"/>
                <w:lang w:val="en-US"/>
              </w:rPr>
              <w:t>09</w:t>
            </w:r>
          </w:p>
        </w:tc>
      </w:tr>
    </w:tbl>
    <w:p w14:paraId="2643F0AD" w14:textId="77777777" w:rsidR="000D1F00" w:rsidRDefault="000D1F00" w:rsidP="008827DF">
      <w:pPr>
        <w:spacing w:after="120"/>
        <w:jc w:val="both"/>
        <w:rPr>
          <w:bCs/>
          <w:sz w:val="28"/>
          <w:szCs w:val="20"/>
        </w:rPr>
      </w:pPr>
    </w:p>
    <w:p w14:paraId="1ABB2C50" w14:textId="722B7F0F" w:rsidR="001655A2" w:rsidRDefault="00DF23CE" w:rsidP="003C7649">
      <w:pPr>
        <w:spacing w:after="120"/>
        <w:jc w:val="both"/>
        <w:rPr>
          <w:bCs/>
          <w:sz w:val="28"/>
          <w:szCs w:val="20"/>
        </w:rPr>
      </w:pPr>
      <w:r>
        <w:rPr>
          <w:bCs/>
          <w:sz w:val="28"/>
          <w:szCs w:val="20"/>
        </w:rPr>
        <w:t xml:space="preserve">Ο </w:t>
      </w:r>
      <w:r w:rsidR="00AC3A5F">
        <w:rPr>
          <w:bCs/>
          <w:sz w:val="28"/>
          <w:szCs w:val="20"/>
        </w:rPr>
        <w:t>πίνακας δείχνει ότι υπάρχουν υπερβάσεις</w:t>
      </w:r>
      <w:r w:rsidR="00DC7A4A">
        <w:rPr>
          <w:bCs/>
          <w:sz w:val="28"/>
          <w:szCs w:val="20"/>
        </w:rPr>
        <w:t xml:space="preserve"> των ορίων </w:t>
      </w:r>
      <w:r w:rsidR="00B527CB">
        <w:rPr>
          <w:bCs/>
          <w:sz w:val="28"/>
          <w:szCs w:val="20"/>
        </w:rPr>
        <w:t xml:space="preserve">όλων των στοιχείων εκτός </w:t>
      </w:r>
      <w:r w:rsidR="00B527CB">
        <w:rPr>
          <w:bCs/>
          <w:sz w:val="28"/>
          <w:szCs w:val="20"/>
          <w:lang w:val="en-US"/>
        </w:rPr>
        <w:t>Zn</w:t>
      </w:r>
      <w:r w:rsidR="00B527CB">
        <w:rPr>
          <w:bCs/>
          <w:sz w:val="28"/>
          <w:szCs w:val="20"/>
        </w:rPr>
        <w:t xml:space="preserve"> για </w:t>
      </w:r>
      <w:r w:rsidR="00C44E2E">
        <w:rPr>
          <w:bCs/>
          <w:sz w:val="28"/>
          <w:szCs w:val="20"/>
        </w:rPr>
        <w:t>το</w:t>
      </w:r>
      <w:r w:rsidR="00B2371A">
        <w:rPr>
          <w:bCs/>
          <w:sz w:val="28"/>
          <w:szCs w:val="20"/>
        </w:rPr>
        <w:t>ν</w:t>
      </w:r>
      <w:r w:rsidR="00C44E2E">
        <w:rPr>
          <w:bCs/>
          <w:sz w:val="28"/>
          <w:szCs w:val="20"/>
        </w:rPr>
        <w:t xml:space="preserve"> ΧΥΤ αδρανών, άρα δεν μπορεί να επιλεγεί ο ΧΥΤ αδρανών. </w:t>
      </w:r>
      <w:r w:rsidR="00A47C2B">
        <w:rPr>
          <w:bCs/>
          <w:sz w:val="28"/>
          <w:szCs w:val="20"/>
        </w:rPr>
        <w:t xml:space="preserve">Επίσης υπάρχουν υπερβάσεις </w:t>
      </w:r>
      <w:r w:rsidR="00B2371A">
        <w:rPr>
          <w:bCs/>
          <w:sz w:val="28"/>
          <w:szCs w:val="20"/>
        </w:rPr>
        <w:t xml:space="preserve">των </w:t>
      </w:r>
      <w:r w:rsidR="00B2371A">
        <w:rPr>
          <w:bCs/>
          <w:sz w:val="28"/>
          <w:szCs w:val="20"/>
          <w:lang w:val="en-US"/>
        </w:rPr>
        <w:t>Cr</w:t>
      </w:r>
      <w:r w:rsidR="00B2371A" w:rsidRPr="007F15BB">
        <w:rPr>
          <w:bCs/>
          <w:sz w:val="28"/>
          <w:szCs w:val="20"/>
        </w:rPr>
        <w:t xml:space="preserve"> </w:t>
      </w:r>
      <w:r w:rsidR="00B2371A">
        <w:rPr>
          <w:bCs/>
          <w:sz w:val="28"/>
          <w:szCs w:val="20"/>
        </w:rPr>
        <w:t xml:space="preserve">και </w:t>
      </w:r>
      <w:r w:rsidR="00B2371A">
        <w:rPr>
          <w:bCs/>
          <w:sz w:val="28"/>
          <w:szCs w:val="20"/>
          <w:lang w:val="en-US"/>
        </w:rPr>
        <w:t>Pb</w:t>
      </w:r>
      <w:r w:rsidR="007F15BB">
        <w:rPr>
          <w:bCs/>
          <w:sz w:val="28"/>
          <w:szCs w:val="20"/>
        </w:rPr>
        <w:t xml:space="preserve"> για τον ΧΥΤ μη επικινδύνων αποβλήτων, άρα δεν μπορεί να επιλεγεί ο ΧΥΤ μη επικινδύνων αποβλήτων</w:t>
      </w:r>
      <w:r w:rsidR="00DA3A5C">
        <w:rPr>
          <w:bCs/>
          <w:sz w:val="28"/>
          <w:szCs w:val="20"/>
        </w:rPr>
        <w:t xml:space="preserve">. </w:t>
      </w:r>
      <w:r w:rsidR="00AF3380">
        <w:rPr>
          <w:bCs/>
          <w:sz w:val="28"/>
          <w:szCs w:val="20"/>
        </w:rPr>
        <w:t>Όμως, δ</w:t>
      </w:r>
      <w:r w:rsidR="00DA3A5C">
        <w:rPr>
          <w:bCs/>
          <w:sz w:val="28"/>
          <w:szCs w:val="20"/>
        </w:rPr>
        <w:t xml:space="preserve">εν υπάρχουν υπερβάσεις </w:t>
      </w:r>
      <w:r w:rsidR="00387EB9">
        <w:rPr>
          <w:bCs/>
          <w:sz w:val="28"/>
          <w:szCs w:val="20"/>
        </w:rPr>
        <w:t>όλων των στοιχείων για τον ΧΥΤ</w:t>
      </w:r>
      <w:r w:rsidR="00E4700F">
        <w:rPr>
          <w:bCs/>
          <w:sz w:val="28"/>
          <w:szCs w:val="20"/>
        </w:rPr>
        <w:t>ΕΑ</w:t>
      </w:r>
      <w:r w:rsidR="00A34E91">
        <w:rPr>
          <w:bCs/>
          <w:sz w:val="28"/>
          <w:szCs w:val="20"/>
        </w:rPr>
        <w:t xml:space="preserve">, άρα υποχρεωτικά πρέπει να </w:t>
      </w:r>
      <w:r w:rsidR="00A34E91" w:rsidRPr="00D73870">
        <w:rPr>
          <w:b/>
          <w:sz w:val="28"/>
          <w:szCs w:val="20"/>
        </w:rPr>
        <w:t xml:space="preserve">επιλεγεί ο </w:t>
      </w:r>
      <w:r w:rsidR="00BB5D31" w:rsidRPr="00D73870">
        <w:rPr>
          <w:b/>
          <w:sz w:val="28"/>
          <w:szCs w:val="20"/>
        </w:rPr>
        <w:t>ΧΥΤΕΑ</w:t>
      </w:r>
      <w:r w:rsidR="00BB5D31">
        <w:rPr>
          <w:bCs/>
          <w:sz w:val="28"/>
          <w:szCs w:val="20"/>
        </w:rPr>
        <w:t>.</w:t>
      </w:r>
      <w:r w:rsidR="00F31DE3">
        <w:rPr>
          <w:bCs/>
          <w:sz w:val="28"/>
          <w:szCs w:val="20"/>
        </w:rPr>
        <w:t xml:space="preserve"> Εάν υπ</w:t>
      </w:r>
      <w:r w:rsidR="00E26920">
        <w:rPr>
          <w:bCs/>
          <w:sz w:val="28"/>
          <w:szCs w:val="20"/>
        </w:rPr>
        <w:t>άρχου</w:t>
      </w:r>
      <w:r w:rsidR="00F31DE3">
        <w:rPr>
          <w:bCs/>
          <w:sz w:val="28"/>
          <w:szCs w:val="20"/>
        </w:rPr>
        <w:t xml:space="preserve">ν υπερβάσεις των ορίων του ΧΥΤΕΑ, το απόβλητο </w:t>
      </w:r>
      <w:r w:rsidR="00E26920">
        <w:rPr>
          <w:bCs/>
          <w:sz w:val="28"/>
          <w:szCs w:val="20"/>
        </w:rPr>
        <w:lastRenderedPageBreak/>
        <w:t xml:space="preserve">πρέπει να υποστεί επεξεργασία και </w:t>
      </w:r>
      <w:r w:rsidR="007B0C63">
        <w:rPr>
          <w:bCs/>
          <w:sz w:val="28"/>
          <w:szCs w:val="20"/>
        </w:rPr>
        <w:t>να επαναληφθεί η δοκιμή έκπλυσης και σύγκριση με τα αντίστοιχα</w:t>
      </w:r>
      <w:r w:rsidR="003C7649">
        <w:rPr>
          <w:bCs/>
          <w:sz w:val="28"/>
          <w:szCs w:val="20"/>
        </w:rPr>
        <w:t xml:space="preserve"> όρια αποδοχής. </w:t>
      </w:r>
    </w:p>
    <w:p w14:paraId="0AA38E38" w14:textId="7115A8FF" w:rsidR="00D341AF" w:rsidRPr="00B32F93" w:rsidRDefault="00D341AF" w:rsidP="003C7649">
      <w:pPr>
        <w:spacing w:after="120"/>
        <w:jc w:val="both"/>
        <w:rPr>
          <w:sz w:val="28"/>
          <w:szCs w:val="28"/>
        </w:rPr>
      </w:pPr>
      <w:r w:rsidRPr="00167C1C">
        <w:rPr>
          <w:b/>
          <w:sz w:val="28"/>
          <w:szCs w:val="20"/>
        </w:rPr>
        <w:t>Σημείωση</w:t>
      </w:r>
      <w:r w:rsidR="00461E2B" w:rsidRPr="00167C1C">
        <w:rPr>
          <w:b/>
          <w:sz w:val="28"/>
          <w:szCs w:val="20"/>
        </w:rPr>
        <w:t>:</w:t>
      </w:r>
      <w:r w:rsidR="00461E2B">
        <w:rPr>
          <w:bCs/>
          <w:sz w:val="28"/>
          <w:szCs w:val="20"/>
        </w:rPr>
        <w:t xml:space="preserve"> Εκτός από τα ανωτέρω 6 στοιχεία, η Απόφαση </w:t>
      </w:r>
      <w:r w:rsidR="00B60752">
        <w:rPr>
          <w:bCs/>
          <w:sz w:val="28"/>
          <w:szCs w:val="20"/>
        </w:rPr>
        <w:t>2003/33/ΕΚ</w:t>
      </w:r>
      <w:r w:rsidR="00995A44">
        <w:rPr>
          <w:bCs/>
          <w:sz w:val="28"/>
          <w:szCs w:val="20"/>
        </w:rPr>
        <w:t xml:space="preserve"> παρουσιάζει οριακές τιμές για περισσότερα στοιχεία και άλλες παραμέτρους</w:t>
      </w:r>
      <w:r w:rsidR="0019032F">
        <w:rPr>
          <w:bCs/>
          <w:sz w:val="28"/>
          <w:szCs w:val="20"/>
        </w:rPr>
        <w:t>, οι οποίες τιμές δεν πρέπει να παραβιάζονται για να δικαιολογείται η επιλογή του ΧΥΤΕΑ</w:t>
      </w:r>
      <w:r w:rsidR="00167C1C">
        <w:rPr>
          <w:bCs/>
          <w:sz w:val="28"/>
          <w:szCs w:val="20"/>
        </w:rPr>
        <w:t>. Συνεπώς, η ανωτέρω</w:t>
      </w:r>
      <w:r w:rsidR="002B382B">
        <w:rPr>
          <w:bCs/>
          <w:sz w:val="28"/>
          <w:szCs w:val="20"/>
        </w:rPr>
        <w:t xml:space="preserve"> </w:t>
      </w:r>
      <w:r w:rsidR="009F021E">
        <w:rPr>
          <w:bCs/>
          <w:sz w:val="28"/>
          <w:szCs w:val="20"/>
        </w:rPr>
        <w:t>προσέγγιση</w:t>
      </w:r>
      <w:r w:rsidR="00167C1C">
        <w:rPr>
          <w:bCs/>
          <w:sz w:val="28"/>
          <w:szCs w:val="20"/>
        </w:rPr>
        <w:t xml:space="preserve"> </w:t>
      </w:r>
      <w:r w:rsidR="00D12084">
        <w:rPr>
          <w:bCs/>
          <w:sz w:val="28"/>
          <w:szCs w:val="20"/>
        </w:rPr>
        <w:t xml:space="preserve">για την επιλογή του καταλλήλου ΧΥΤ </w:t>
      </w:r>
      <w:r w:rsidR="00167C1C">
        <w:rPr>
          <w:bCs/>
          <w:sz w:val="28"/>
          <w:szCs w:val="20"/>
        </w:rPr>
        <w:t>πρέπει να θεωρείται ενδεικτική</w:t>
      </w:r>
      <w:r w:rsidR="00464F0A">
        <w:rPr>
          <w:bCs/>
          <w:sz w:val="28"/>
          <w:szCs w:val="20"/>
        </w:rPr>
        <w:t>.</w:t>
      </w:r>
    </w:p>
    <w:sectPr w:rsidR="00D341AF" w:rsidRPr="00B32F9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177D0"/>
    <w:multiLevelType w:val="hybridMultilevel"/>
    <w:tmpl w:val="68F627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EDD4EE3"/>
    <w:multiLevelType w:val="hybridMultilevel"/>
    <w:tmpl w:val="9AF41CC8"/>
    <w:lvl w:ilvl="0" w:tplc="49C8DCB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097512320">
    <w:abstractNumId w:val="1"/>
  </w:num>
  <w:num w:numId="2" w16cid:durableId="1477797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AC"/>
    <w:rsid w:val="000161E6"/>
    <w:rsid w:val="00020218"/>
    <w:rsid w:val="00045802"/>
    <w:rsid w:val="00050582"/>
    <w:rsid w:val="00054671"/>
    <w:rsid w:val="00071963"/>
    <w:rsid w:val="000B00F6"/>
    <w:rsid w:val="000B111F"/>
    <w:rsid w:val="000D1F00"/>
    <w:rsid w:val="000F4214"/>
    <w:rsid w:val="00107191"/>
    <w:rsid w:val="001655A2"/>
    <w:rsid w:val="0016598C"/>
    <w:rsid w:val="0016787A"/>
    <w:rsid w:val="00167C1C"/>
    <w:rsid w:val="0017085A"/>
    <w:rsid w:val="00187893"/>
    <w:rsid w:val="0019032F"/>
    <w:rsid w:val="001A6972"/>
    <w:rsid w:val="001C0385"/>
    <w:rsid w:val="001D24D1"/>
    <w:rsid w:val="001D4967"/>
    <w:rsid w:val="00202977"/>
    <w:rsid w:val="00257441"/>
    <w:rsid w:val="00267B93"/>
    <w:rsid w:val="002833FA"/>
    <w:rsid w:val="002B382B"/>
    <w:rsid w:val="002C3E13"/>
    <w:rsid w:val="00322A6C"/>
    <w:rsid w:val="00323D9E"/>
    <w:rsid w:val="00344B36"/>
    <w:rsid w:val="003512F5"/>
    <w:rsid w:val="00387EB9"/>
    <w:rsid w:val="003A5C4C"/>
    <w:rsid w:val="003C7649"/>
    <w:rsid w:val="00420868"/>
    <w:rsid w:val="00461E2B"/>
    <w:rsid w:val="00464F0A"/>
    <w:rsid w:val="00475D1C"/>
    <w:rsid w:val="00477C48"/>
    <w:rsid w:val="00497533"/>
    <w:rsid w:val="004C4B2B"/>
    <w:rsid w:val="004D055B"/>
    <w:rsid w:val="004D6204"/>
    <w:rsid w:val="004F192D"/>
    <w:rsid w:val="005427B0"/>
    <w:rsid w:val="005640C9"/>
    <w:rsid w:val="00572D5F"/>
    <w:rsid w:val="00590B8A"/>
    <w:rsid w:val="005C6207"/>
    <w:rsid w:val="006021AB"/>
    <w:rsid w:val="00607D99"/>
    <w:rsid w:val="00673FC8"/>
    <w:rsid w:val="00682B08"/>
    <w:rsid w:val="006B5B32"/>
    <w:rsid w:val="006D602A"/>
    <w:rsid w:val="00721696"/>
    <w:rsid w:val="0073238D"/>
    <w:rsid w:val="007572CB"/>
    <w:rsid w:val="00795B1A"/>
    <w:rsid w:val="007A1911"/>
    <w:rsid w:val="007A5D6A"/>
    <w:rsid w:val="007B0C63"/>
    <w:rsid w:val="007C7CDE"/>
    <w:rsid w:val="007F15BB"/>
    <w:rsid w:val="00814476"/>
    <w:rsid w:val="00822E78"/>
    <w:rsid w:val="0084236D"/>
    <w:rsid w:val="00843D92"/>
    <w:rsid w:val="008827DF"/>
    <w:rsid w:val="008A0F01"/>
    <w:rsid w:val="008A67B7"/>
    <w:rsid w:val="00991A52"/>
    <w:rsid w:val="00995A44"/>
    <w:rsid w:val="009A7333"/>
    <w:rsid w:val="009B4DFC"/>
    <w:rsid w:val="009C7F5E"/>
    <w:rsid w:val="009E13EA"/>
    <w:rsid w:val="009F021E"/>
    <w:rsid w:val="00A22818"/>
    <w:rsid w:val="00A34E91"/>
    <w:rsid w:val="00A37C20"/>
    <w:rsid w:val="00A40B43"/>
    <w:rsid w:val="00A41738"/>
    <w:rsid w:val="00A47C2B"/>
    <w:rsid w:val="00A705BD"/>
    <w:rsid w:val="00A830AE"/>
    <w:rsid w:val="00AA31A8"/>
    <w:rsid w:val="00AA61E0"/>
    <w:rsid w:val="00AA71D9"/>
    <w:rsid w:val="00AB04C6"/>
    <w:rsid w:val="00AC3A5F"/>
    <w:rsid w:val="00AF3380"/>
    <w:rsid w:val="00B0052C"/>
    <w:rsid w:val="00B2371A"/>
    <w:rsid w:val="00B32F93"/>
    <w:rsid w:val="00B502A0"/>
    <w:rsid w:val="00B527CB"/>
    <w:rsid w:val="00B60752"/>
    <w:rsid w:val="00B72C8C"/>
    <w:rsid w:val="00B87D3E"/>
    <w:rsid w:val="00B96F18"/>
    <w:rsid w:val="00BB5D31"/>
    <w:rsid w:val="00BE4412"/>
    <w:rsid w:val="00C154AC"/>
    <w:rsid w:val="00C27DD0"/>
    <w:rsid w:val="00C44E2E"/>
    <w:rsid w:val="00C45290"/>
    <w:rsid w:val="00C57FEE"/>
    <w:rsid w:val="00C813AE"/>
    <w:rsid w:val="00CA5DB1"/>
    <w:rsid w:val="00CA64EC"/>
    <w:rsid w:val="00CC5615"/>
    <w:rsid w:val="00CD17DC"/>
    <w:rsid w:val="00CE7B7A"/>
    <w:rsid w:val="00D12084"/>
    <w:rsid w:val="00D341AF"/>
    <w:rsid w:val="00D541DF"/>
    <w:rsid w:val="00D636AC"/>
    <w:rsid w:val="00D73870"/>
    <w:rsid w:val="00DA3A5C"/>
    <w:rsid w:val="00DB7269"/>
    <w:rsid w:val="00DC7A4A"/>
    <w:rsid w:val="00DD09A1"/>
    <w:rsid w:val="00DE2A68"/>
    <w:rsid w:val="00DF23CE"/>
    <w:rsid w:val="00DF7B8A"/>
    <w:rsid w:val="00E03108"/>
    <w:rsid w:val="00E03229"/>
    <w:rsid w:val="00E13DA1"/>
    <w:rsid w:val="00E26920"/>
    <w:rsid w:val="00E4700F"/>
    <w:rsid w:val="00E75464"/>
    <w:rsid w:val="00EA2AFC"/>
    <w:rsid w:val="00ED3EF2"/>
    <w:rsid w:val="00EE5BC0"/>
    <w:rsid w:val="00F028AF"/>
    <w:rsid w:val="00F31DE3"/>
    <w:rsid w:val="00F32C3D"/>
    <w:rsid w:val="00F371A9"/>
    <w:rsid w:val="00F37C82"/>
    <w:rsid w:val="00F40EF2"/>
    <w:rsid w:val="00F63930"/>
    <w:rsid w:val="00F915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7B05E"/>
  <w15:chartTrackingRefBased/>
  <w15:docId w15:val="{5D97D1DB-3393-4608-9804-D6994214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Ανοιχτόχρωμο πλέγμα - ΄Εμφαση 11"/>
    <w:basedOn w:val="a1"/>
    <w:uiPriority w:val="62"/>
    <w:rsid w:val="002C3E13"/>
    <w:rPr>
      <w:rFonts w:ascii="Aptos" w:eastAsia="Aptos" w:hAnsi="Aptos"/>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
    <w:name w:val="Hyperlink"/>
    <w:basedOn w:val="a0"/>
    <w:rsid w:val="00843D92"/>
    <w:rPr>
      <w:color w:val="0563C1" w:themeColor="hyperlink"/>
      <w:u w:val="single"/>
    </w:rPr>
  </w:style>
  <w:style w:type="character" w:styleId="a3">
    <w:name w:val="Unresolved Mention"/>
    <w:basedOn w:val="a0"/>
    <w:uiPriority w:val="99"/>
    <w:semiHidden/>
    <w:unhideWhenUsed/>
    <w:rsid w:val="00843D92"/>
    <w:rPr>
      <w:color w:val="605E5C"/>
      <w:shd w:val="clear" w:color="auto" w:fill="E1DFDD"/>
    </w:rPr>
  </w:style>
  <w:style w:type="table" w:styleId="a4">
    <w:name w:val="Table Grid"/>
    <w:basedOn w:val="a1"/>
    <w:rsid w:val="00CA6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37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16/j.jhazmat.2024.135988"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663</Words>
  <Characters>3584</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Παράδειγμα</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Παράδειγμα</dc:title>
  <dc:subject/>
  <dc:creator>PC</dc:creator>
  <cp:keywords/>
  <dc:description/>
  <cp:lastModifiedBy>Evangelos Voudrias</cp:lastModifiedBy>
  <cp:revision>3</cp:revision>
  <dcterms:created xsi:type="dcterms:W3CDTF">2026-04-23T18:19:00Z</dcterms:created>
  <dcterms:modified xsi:type="dcterms:W3CDTF">2026-04-29T10:00:00Z</dcterms:modified>
</cp:coreProperties>
</file>