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273" w:rsidRPr="00936ADD" w:rsidRDefault="00764023" w:rsidP="003066A0">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936ADD">
        <w:rPr>
          <w:rFonts w:ascii="Times New Roman" w:hAnsi="Times New Roman" w:cs="Times New Roman"/>
          <w:b/>
          <w:sz w:val="24"/>
          <w:szCs w:val="24"/>
          <w:lang w:val="en-US"/>
        </w:rPr>
        <w:t xml:space="preserve">1. </w:t>
      </w:r>
      <w:r w:rsidR="005E5273" w:rsidRPr="00936ADD">
        <w:rPr>
          <w:rFonts w:ascii="Times New Roman" w:hAnsi="Times New Roman" w:cs="Times New Roman"/>
          <w:b/>
          <w:sz w:val="24"/>
          <w:szCs w:val="24"/>
          <w:lang w:val="en-US"/>
        </w:rPr>
        <w:t>Introduction</w:t>
      </w:r>
    </w:p>
    <w:p w:rsidR="005E5273" w:rsidRPr="00936ADD" w:rsidRDefault="005E5273" w:rsidP="003066A0">
      <w:pPr>
        <w:widowControl w:val="0"/>
        <w:autoSpaceDE w:val="0"/>
        <w:autoSpaceDN w:val="0"/>
        <w:adjustRightInd w:val="0"/>
        <w:spacing w:after="0" w:line="240" w:lineRule="auto"/>
        <w:jc w:val="both"/>
        <w:rPr>
          <w:rFonts w:ascii="Times New Roman" w:hAnsi="Times New Roman" w:cs="Times New Roman"/>
          <w:sz w:val="16"/>
          <w:szCs w:val="16"/>
          <w:lang w:val="en-US"/>
        </w:rPr>
      </w:pPr>
    </w:p>
    <w:p w:rsidR="002736DF" w:rsidRPr="008F23CC" w:rsidRDefault="0084180B" w:rsidP="008B7354">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Fuel cells are </w:t>
      </w:r>
      <w:r w:rsidR="00F648C1" w:rsidRPr="008F23CC">
        <w:rPr>
          <w:rFonts w:ascii="Times New Roman" w:hAnsi="Times New Roman" w:cs="Times New Roman"/>
          <w:sz w:val="20"/>
          <w:szCs w:val="20"/>
          <w:lang w:val="en-US"/>
        </w:rPr>
        <w:t xml:space="preserve">regarded as </w:t>
      </w:r>
      <w:r w:rsidRPr="008F23CC">
        <w:rPr>
          <w:rFonts w:ascii="Times New Roman" w:hAnsi="Times New Roman" w:cs="Times New Roman"/>
          <w:sz w:val="20"/>
          <w:szCs w:val="20"/>
          <w:lang w:val="en-US"/>
        </w:rPr>
        <w:t xml:space="preserve">the technology of choice to </w:t>
      </w:r>
      <w:r w:rsidR="00F648C1" w:rsidRPr="008F23CC">
        <w:rPr>
          <w:rFonts w:ascii="Times New Roman" w:hAnsi="Times New Roman" w:cs="Times New Roman"/>
          <w:sz w:val="20"/>
          <w:szCs w:val="20"/>
          <w:lang w:val="en-US"/>
        </w:rPr>
        <w:t>maximize</w:t>
      </w:r>
      <w:r w:rsidRPr="008F23CC">
        <w:rPr>
          <w:rFonts w:ascii="Times New Roman" w:hAnsi="Times New Roman" w:cs="Times New Roman"/>
          <w:sz w:val="20"/>
          <w:szCs w:val="20"/>
          <w:lang w:val="en-US"/>
        </w:rPr>
        <w:t xml:space="preserve"> the potential benefits of hydrogen in</w:t>
      </w:r>
      <w:r w:rsidR="00F648C1"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terms of efficiency.</w:t>
      </w:r>
      <w:r w:rsidR="00F648C1" w:rsidRPr="008F23CC">
        <w:rPr>
          <w:rFonts w:ascii="Times New Roman" w:hAnsi="Times New Roman" w:cs="Times New Roman"/>
          <w:sz w:val="20"/>
          <w:szCs w:val="20"/>
          <w:lang w:val="en-US"/>
        </w:rPr>
        <w:t xml:space="preserve"> </w:t>
      </w:r>
      <w:r w:rsidR="008F23CC" w:rsidRPr="008F23CC">
        <w:rPr>
          <w:rFonts w:ascii="Times New Roman" w:hAnsi="Times New Roman" w:cs="Times New Roman"/>
          <w:sz w:val="20"/>
          <w:szCs w:val="20"/>
          <w:lang w:val="en-US"/>
        </w:rPr>
        <w:t>Today’s fuel cell plants exhibit efficiencies in the range of 40 to 55% LHV, almost independently of the</w:t>
      </w:r>
      <w:r w:rsidR="00E47FD1">
        <w:rPr>
          <w:rFonts w:ascii="Times New Roman" w:hAnsi="Times New Roman" w:cs="Times New Roman"/>
          <w:sz w:val="20"/>
          <w:szCs w:val="20"/>
          <w:lang w:val="en-US"/>
        </w:rPr>
        <w:t xml:space="preserve">ir size, while hybrid fuel cell – </w:t>
      </w:r>
      <w:r w:rsidR="008F23CC" w:rsidRPr="008F23CC">
        <w:rPr>
          <w:rFonts w:ascii="Times New Roman" w:hAnsi="Times New Roman" w:cs="Times New Roman"/>
          <w:sz w:val="20"/>
          <w:szCs w:val="20"/>
          <w:lang w:val="en-US"/>
        </w:rPr>
        <w:t xml:space="preserve">gas turbine cycles overcome 70% LHV (Figure 1). </w:t>
      </w:r>
      <w:r w:rsidR="00F648C1" w:rsidRPr="008F23CC">
        <w:rPr>
          <w:rFonts w:ascii="Times New Roman" w:hAnsi="Times New Roman" w:cs="Times New Roman"/>
          <w:sz w:val="20"/>
          <w:szCs w:val="20"/>
          <w:lang w:val="en-US"/>
        </w:rPr>
        <w:t>They</w:t>
      </w:r>
      <w:r w:rsidR="005D0641" w:rsidRPr="008F23CC">
        <w:rPr>
          <w:rFonts w:ascii="Times New Roman" w:hAnsi="Times New Roman" w:cs="Times New Roman"/>
          <w:sz w:val="20"/>
          <w:szCs w:val="20"/>
          <w:lang w:val="en-US"/>
        </w:rPr>
        <w:t xml:space="preserve"> are electrochemical devices that convert the chemical energy of a </w:t>
      </w:r>
      <w:r w:rsidR="003B4779" w:rsidRPr="008F23CC">
        <w:rPr>
          <w:rFonts w:ascii="Times New Roman" w:hAnsi="Times New Roman" w:cs="Times New Roman"/>
          <w:sz w:val="20"/>
          <w:szCs w:val="20"/>
          <w:lang w:val="en-US"/>
        </w:rPr>
        <w:t xml:space="preserve">fuel directly </w:t>
      </w:r>
      <w:r w:rsidR="005D0641" w:rsidRPr="008F23CC">
        <w:rPr>
          <w:rFonts w:ascii="Times New Roman" w:hAnsi="Times New Roman" w:cs="Times New Roman"/>
          <w:sz w:val="20"/>
          <w:szCs w:val="20"/>
          <w:lang w:val="en-US"/>
        </w:rPr>
        <w:t>to electric</w:t>
      </w:r>
      <w:r w:rsidR="008D2712" w:rsidRPr="008F23CC">
        <w:rPr>
          <w:rFonts w:ascii="Times New Roman" w:hAnsi="Times New Roman" w:cs="Times New Roman"/>
          <w:sz w:val="20"/>
          <w:szCs w:val="20"/>
          <w:lang w:val="en-US"/>
        </w:rPr>
        <w:t>ity</w:t>
      </w:r>
      <w:r w:rsidR="00A41801" w:rsidRPr="008F23CC">
        <w:rPr>
          <w:rFonts w:ascii="Times New Roman" w:hAnsi="Times New Roman" w:cs="Times New Roman"/>
          <w:sz w:val="20"/>
          <w:szCs w:val="20"/>
          <w:lang w:val="en-US"/>
        </w:rPr>
        <w:t>, bypass</w:t>
      </w:r>
      <w:r w:rsidR="008D2712" w:rsidRPr="008F23CC">
        <w:rPr>
          <w:rFonts w:ascii="Times New Roman" w:hAnsi="Times New Roman" w:cs="Times New Roman"/>
          <w:sz w:val="20"/>
          <w:szCs w:val="20"/>
          <w:lang w:val="en-US"/>
        </w:rPr>
        <w:t>ing</w:t>
      </w:r>
      <w:r w:rsidR="00A41801" w:rsidRPr="008F23CC">
        <w:rPr>
          <w:rFonts w:ascii="Times New Roman" w:hAnsi="Times New Roman" w:cs="Times New Roman"/>
          <w:sz w:val="20"/>
          <w:szCs w:val="20"/>
          <w:lang w:val="en-US"/>
        </w:rPr>
        <w:t xml:space="preserve"> the thermodynamic limitations of conventional thermal engines</w:t>
      </w:r>
      <w:r w:rsidR="005D0641" w:rsidRPr="008F23CC">
        <w:rPr>
          <w:rFonts w:ascii="Times New Roman" w:hAnsi="Times New Roman" w:cs="Times New Roman"/>
          <w:sz w:val="20"/>
          <w:szCs w:val="20"/>
          <w:lang w:val="en-US"/>
        </w:rPr>
        <w:t>. The</w:t>
      </w:r>
      <w:r w:rsidR="00A41801" w:rsidRPr="008F23CC">
        <w:rPr>
          <w:rFonts w:ascii="Times New Roman" w:hAnsi="Times New Roman" w:cs="Times New Roman"/>
          <w:sz w:val="20"/>
          <w:szCs w:val="20"/>
          <w:lang w:val="en-US"/>
        </w:rPr>
        <w:t>ir</w:t>
      </w:r>
      <w:r w:rsidR="005D0641" w:rsidRPr="008F23CC">
        <w:rPr>
          <w:rFonts w:ascii="Times New Roman" w:hAnsi="Times New Roman" w:cs="Times New Roman"/>
          <w:sz w:val="20"/>
          <w:szCs w:val="20"/>
          <w:lang w:val="en-US"/>
        </w:rPr>
        <w:t xml:space="preserve"> physical structure consists of an </w:t>
      </w:r>
      <w:r w:rsidR="00562367" w:rsidRPr="008F23CC">
        <w:rPr>
          <w:rFonts w:ascii="Times New Roman" w:hAnsi="Times New Roman" w:cs="Times New Roman"/>
          <w:sz w:val="20"/>
          <w:szCs w:val="20"/>
          <w:lang w:val="en-US"/>
        </w:rPr>
        <w:t xml:space="preserve">(solid or solidified) </w:t>
      </w:r>
      <w:r w:rsidR="005D0641" w:rsidRPr="008F23CC">
        <w:rPr>
          <w:rFonts w:ascii="Times New Roman" w:hAnsi="Times New Roman" w:cs="Times New Roman"/>
          <w:sz w:val="20"/>
          <w:szCs w:val="20"/>
          <w:lang w:val="en-US"/>
        </w:rPr>
        <w:t>electrolyt</w:t>
      </w:r>
      <w:r w:rsidR="00A41801" w:rsidRPr="008F23CC">
        <w:rPr>
          <w:rFonts w:ascii="Times New Roman" w:hAnsi="Times New Roman" w:cs="Times New Roman"/>
          <w:sz w:val="20"/>
          <w:szCs w:val="20"/>
          <w:lang w:val="en-US"/>
        </w:rPr>
        <w:t>e</w:t>
      </w:r>
      <w:r w:rsidR="005D0641" w:rsidRPr="008F23CC">
        <w:rPr>
          <w:rFonts w:ascii="Times New Roman" w:hAnsi="Times New Roman" w:cs="Times New Roman"/>
          <w:sz w:val="20"/>
          <w:szCs w:val="20"/>
          <w:lang w:val="en-US"/>
        </w:rPr>
        <w:t xml:space="preserve"> in contact with two porous electrodes on either side. </w:t>
      </w:r>
      <w:r w:rsidR="00FB5621" w:rsidRPr="008F23CC">
        <w:rPr>
          <w:rFonts w:ascii="Times New Roman" w:hAnsi="Times New Roman" w:cs="Times New Roman"/>
          <w:sz w:val="20"/>
          <w:szCs w:val="20"/>
          <w:lang w:val="en-US"/>
        </w:rPr>
        <w:t>All types of fuel cells</w:t>
      </w:r>
      <w:r w:rsidR="002736DF" w:rsidRPr="008F23CC">
        <w:rPr>
          <w:rFonts w:ascii="Times New Roman" w:hAnsi="Times New Roman" w:cs="Times New Roman"/>
          <w:sz w:val="20"/>
          <w:szCs w:val="20"/>
          <w:lang w:val="en-US"/>
        </w:rPr>
        <w:t xml:space="preserve"> combine hydrogen and oxygen t</w:t>
      </w:r>
      <w:r w:rsidR="00C43173" w:rsidRPr="008F23CC">
        <w:rPr>
          <w:rFonts w:ascii="Times New Roman" w:hAnsi="Times New Roman" w:cs="Times New Roman"/>
          <w:sz w:val="20"/>
          <w:szCs w:val="20"/>
          <w:lang w:val="en-US"/>
        </w:rPr>
        <w:t>o produce dc electricity, water</w:t>
      </w:r>
      <w:r w:rsidR="002736DF" w:rsidRPr="008F23CC">
        <w:rPr>
          <w:rFonts w:ascii="Times New Roman" w:hAnsi="Times New Roman" w:cs="Times New Roman"/>
          <w:sz w:val="20"/>
          <w:szCs w:val="20"/>
          <w:lang w:val="en-US"/>
        </w:rPr>
        <w:t xml:space="preserve"> and heat. </w:t>
      </w:r>
      <w:r w:rsidR="00A42532" w:rsidRPr="008F23CC">
        <w:rPr>
          <w:rFonts w:ascii="Times New Roman" w:hAnsi="Times New Roman" w:cs="Times New Roman"/>
          <w:sz w:val="20"/>
          <w:szCs w:val="20"/>
          <w:lang w:val="en-US"/>
        </w:rPr>
        <w:t xml:space="preserve">On the other hand, their </w:t>
      </w:r>
      <w:r w:rsidR="002736DF" w:rsidRPr="008F23CC">
        <w:rPr>
          <w:rFonts w:ascii="Times New Roman" w:hAnsi="Times New Roman" w:cs="Times New Roman"/>
          <w:sz w:val="20"/>
          <w:szCs w:val="20"/>
          <w:lang w:val="en-US"/>
        </w:rPr>
        <w:t>sensitiv</w:t>
      </w:r>
      <w:r w:rsidR="00A42532" w:rsidRPr="008F23CC">
        <w:rPr>
          <w:rFonts w:ascii="Times New Roman" w:hAnsi="Times New Roman" w:cs="Times New Roman"/>
          <w:sz w:val="20"/>
          <w:szCs w:val="20"/>
          <w:lang w:val="en-US"/>
        </w:rPr>
        <w:t>ity and endurance over time and above all their high initial cost</w:t>
      </w:r>
      <w:r w:rsidR="008F23CC">
        <w:rPr>
          <w:rFonts w:ascii="Times New Roman" w:hAnsi="Times New Roman" w:cs="Times New Roman"/>
          <w:sz w:val="20"/>
          <w:szCs w:val="20"/>
          <w:lang w:val="en-US"/>
        </w:rPr>
        <w:t>s</w:t>
      </w:r>
      <w:r w:rsidR="00A42532" w:rsidRPr="008F23CC">
        <w:rPr>
          <w:rFonts w:ascii="Times New Roman" w:hAnsi="Times New Roman" w:cs="Times New Roman"/>
          <w:sz w:val="20"/>
          <w:szCs w:val="20"/>
          <w:lang w:val="en-US"/>
        </w:rPr>
        <w:t xml:space="preserve"> are</w:t>
      </w:r>
      <w:r w:rsidR="002736DF" w:rsidRPr="008F23CC">
        <w:rPr>
          <w:rFonts w:ascii="Times New Roman" w:hAnsi="Times New Roman" w:cs="Times New Roman"/>
          <w:sz w:val="20"/>
          <w:szCs w:val="20"/>
          <w:lang w:val="en-US"/>
        </w:rPr>
        <w:t xml:space="preserve"> </w:t>
      </w:r>
      <w:r w:rsidR="00A42532" w:rsidRPr="008F23CC">
        <w:rPr>
          <w:rFonts w:ascii="Times New Roman" w:hAnsi="Times New Roman" w:cs="Times New Roman"/>
          <w:sz w:val="20"/>
          <w:szCs w:val="20"/>
          <w:lang w:val="en-US"/>
        </w:rPr>
        <w:t>the main obstacles for broad commercialization</w:t>
      </w:r>
      <w:r w:rsidR="00D11295">
        <w:rPr>
          <w:rFonts w:ascii="Times New Roman" w:hAnsi="Times New Roman" w:cs="Times New Roman"/>
          <w:sz w:val="20"/>
          <w:szCs w:val="20"/>
          <w:lang w:val="en-US"/>
        </w:rPr>
        <w:t xml:space="preserve"> [1-3]</w:t>
      </w:r>
      <w:r w:rsidR="002736DF" w:rsidRPr="008F23CC">
        <w:rPr>
          <w:rFonts w:ascii="Times New Roman" w:hAnsi="Times New Roman" w:cs="Times New Roman"/>
          <w:sz w:val="20"/>
          <w:szCs w:val="20"/>
          <w:lang w:val="en-US"/>
        </w:rPr>
        <w:t xml:space="preserve">. </w:t>
      </w:r>
    </w:p>
    <w:p w:rsidR="00871EE8" w:rsidRPr="008F23CC" w:rsidRDefault="00871EE8" w:rsidP="003066A0">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2736DF" w:rsidRPr="008F23CC" w:rsidRDefault="00871EE8" w:rsidP="003066A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drawing>
          <wp:inline distT="0" distB="0" distL="0" distR="0">
            <wp:extent cx="4114800" cy="2083981"/>
            <wp:effectExtent l="0" t="0" r="0"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123857" cy="2088568"/>
                    </a:xfrm>
                    <a:prstGeom prst="rect">
                      <a:avLst/>
                    </a:prstGeom>
                    <a:noFill/>
                    <a:ln w="9525">
                      <a:noFill/>
                      <a:miter lim="800000"/>
                      <a:headEnd/>
                      <a:tailEnd/>
                    </a:ln>
                  </pic:spPr>
                </pic:pic>
              </a:graphicData>
            </a:graphic>
          </wp:inline>
        </w:drawing>
      </w:r>
    </w:p>
    <w:p w:rsidR="00871EE8" w:rsidRPr="008F23CC" w:rsidRDefault="00871EE8" w:rsidP="003066A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1</w:t>
      </w:r>
      <w:r w:rsidRPr="008F23CC">
        <w:rPr>
          <w:rFonts w:ascii="Times New Roman" w:hAnsi="Times New Roman" w:cs="Times New Roman"/>
          <w:sz w:val="20"/>
          <w:szCs w:val="20"/>
          <w:lang w:val="en-US"/>
        </w:rPr>
        <w:t xml:space="preserve"> Comparative efficiency (% LHV) of power generation systems [</w:t>
      </w:r>
      <w:r w:rsidR="00D11295">
        <w:rPr>
          <w:rFonts w:ascii="Times New Roman" w:hAnsi="Times New Roman" w:cs="Times New Roman"/>
          <w:sz w:val="20"/>
          <w:szCs w:val="20"/>
          <w:lang w:val="en-US"/>
        </w:rPr>
        <w:t>1,2</w:t>
      </w:r>
      <w:r w:rsidRPr="008F23CC">
        <w:rPr>
          <w:rFonts w:ascii="Times New Roman" w:hAnsi="Times New Roman" w:cs="Times New Roman"/>
          <w:sz w:val="20"/>
          <w:szCs w:val="20"/>
          <w:lang w:val="en-US"/>
        </w:rPr>
        <w:t>]</w:t>
      </w:r>
    </w:p>
    <w:p w:rsidR="00871EE8" w:rsidRPr="008F23CC" w:rsidRDefault="00871EE8" w:rsidP="003066A0">
      <w:pPr>
        <w:widowControl w:val="0"/>
        <w:autoSpaceDE w:val="0"/>
        <w:autoSpaceDN w:val="0"/>
        <w:adjustRightInd w:val="0"/>
        <w:spacing w:after="0" w:line="240" w:lineRule="auto"/>
        <w:jc w:val="center"/>
        <w:rPr>
          <w:rFonts w:ascii="Times New Roman" w:hAnsi="Times New Roman" w:cs="Times New Roman"/>
          <w:sz w:val="20"/>
          <w:szCs w:val="20"/>
          <w:lang w:val="en-US"/>
        </w:rPr>
      </w:pPr>
    </w:p>
    <w:p w:rsidR="00E47FD1" w:rsidRPr="008F23CC" w:rsidRDefault="00E47FD1" w:rsidP="008B7354">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Based on the type of the electrolyte the most common classification of fuel cells includes:</w:t>
      </w:r>
    </w:p>
    <w:p w:rsidR="00E47FD1" w:rsidRPr="00E47FD1" w:rsidRDefault="00E47FD1" w:rsidP="00E47FD1">
      <w:pPr>
        <w:widowControl w:val="0"/>
        <w:autoSpaceDE w:val="0"/>
        <w:autoSpaceDN w:val="0"/>
        <w:adjustRightInd w:val="0"/>
        <w:spacing w:after="0" w:line="240" w:lineRule="auto"/>
        <w:jc w:val="both"/>
        <w:rPr>
          <w:rFonts w:ascii="Times New Roman" w:hAnsi="Times New Roman" w:cs="Times New Roman"/>
          <w:sz w:val="16"/>
          <w:szCs w:val="16"/>
          <w:lang w:val="en-US"/>
        </w:rPr>
      </w:pPr>
    </w:p>
    <w:p w:rsidR="00E47FD1" w:rsidRPr="008F23CC" w:rsidRDefault="00E47FD1" w:rsidP="00E47FD1">
      <w:pPr>
        <w:pStyle w:val="a4"/>
        <w:widowControl w:val="0"/>
        <w:numPr>
          <w:ilvl w:val="0"/>
          <w:numId w:val="1"/>
        </w:numPr>
        <w:autoSpaceDE w:val="0"/>
        <w:autoSpaceDN w:val="0"/>
        <w:adjustRightInd w:val="0"/>
        <w:spacing w:after="0" w:line="240" w:lineRule="auto"/>
        <w:ind w:left="426" w:right="276" w:hanging="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proton exchanging membranes (PEM) fuel cells (or polymer electrolyte fuel cells – PEFCs), with proton conducting polymeric membranes</w:t>
      </w:r>
      <w:r>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transports hydrogen (fuel) cations, generated at the anode, to an ambient air exposed cathode, where they are electro-oxidized to water at low temperatures </w:t>
      </w:r>
    </w:p>
    <w:p w:rsidR="00E47FD1" w:rsidRPr="008F23CC" w:rsidRDefault="00E47FD1" w:rsidP="00E47FD1">
      <w:pPr>
        <w:pStyle w:val="a4"/>
        <w:widowControl w:val="0"/>
        <w:numPr>
          <w:ilvl w:val="0"/>
          <w:numId w:val="1"/>
        </w:numPr>
        <w:autoSpaceDE w:val="0"/>
        <w:autoSpaceDN w:val="0"/>
        <w:adjustRightInd w:val="0"/>
        <w:spacing w:after="0" w:line="240" w:lineRule="auto"/>
        <w:ind w:left="426" w:right="276" w:hanging="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solid oxide fuel cells (SOFC), which use oxygen conducting ceramic membranes to electo-combust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at the anode, by O</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anions provided by the cathodic reduction of ambient oxygen at high temperatures </w:t>
      </w:r>
    </w:p>
    <w:p w:rsidR="00E47FD1" w:rsidRPr="008F23CC" w:rsidRDefault="00E47FD1" w:rsidP="00E47FD1">
      <w:pPr>
        <w:pStyle w:val="a4"/>
        <w:widowControl w:val="0"/>
        <w:numPr>
          <w:ilvl w:val="0"/>
          <w:numId w:val="1"/>
        </w:numPr>
        <w:autoSpaceDE w:val="0"/>
        <w:autoSpaceDN w:val="0"/>
        <w:adjustRightInd w:val="0"/>
        <w:spacing w:after="0" w:line="240" w:lineRule="auto"/>
        <w:ind w:left="426" w:right="276" w:hanging="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molten carbonate fuel cells (MCFC), with alkali carbonate (in LiAlO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matrixes) electrolyte, conduct CO</w:t>
      </w:r>
      <w:r w:rsidRPr="008F23CC">
        <w:rPr>
          <w:rFonts w:ascii="Times New Roman" w:hAnsi="Times New Roman" w:cs="Times New Roman"/>
          <w:sz w:val="20"/>
          <w:szCs w:val="20"/>
          <w:vertAlign w:val="subscript"/>
          <w:lang w:val="en-US"/>
        </w:rPr>
        <w:t>3</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anions, generated at an 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/CO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exposed cathode to electroxidize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(fuel) at the anode and  at high temperatures </w:t>
      </w:r>
    </w:p>
    <w:p w:rsidR="00E47FD1" w:rsidRPr="008F23CC" w:rsidRDefault="00E47FD1" w:rsidP="00E47FD1">
      <w:pPr>
        <w:pStyle w:val="a4"/>
        <w:widowControl w:val="0"/>
        <w:numPr>
          <w:ilvl w:val="0"/>
          <w:numId w:val="1"/>
        </w:numPr>
        <w:autoSpaceDE w:val="0"/>
        <w:autoSpaceDN w:val="0"/>
        <w:adjustRightInd w:val="0"/>
        <w:spacing w:after="0" w:line="240" w:lineRule="auto"/>
        <w:ind w:left="426" w:right="276" w:hanging="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alkaline fuel cells (AFC), with concentrated KOH (in asbestos matrixes) electrolyte, conduct OH</w:t>
      </w:r>
      <w:r w:rsidRPr="008F23CC">
        <w:rPr>
          <w:rFonts w:ascii="Times New Roman" w:hAnsi="Times New Roman" w:cs="Times New Roman"/>
          <w:sz w:val="20"/>
          <w:szCs w:val="20"/>
          <w:vertAlign w:val="superscript"/>
          <w:lang w:val="en-US"/>
        </w:rPr>
        <w:t>-</w:t>
      </w:r>
      <w:r w:rsidRPr="008F23CC">
        <w:rPr>
          <w:rFonts w:ascii="Times New Roman" w:hAnsi="Times New Roman" w:cs="Times New Roman"/>
          <w:sz w:val="20"/>
          <w:szCs w:val="20"/>
          <w:lang w:val="en-US"/>
        </w:rPr>
        <w:t xml:space="preserve"> anions, generated at an 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O exposed cathode to electroxidize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(fuel) at the anode and  at moderate temperatures, and</w:t>
      </w:r>
    </w:p>
    <w:p w:rsidR="00E47FD1" w:rsidRDefault="00E47FD1" w:rsidP="00E47FD1">
      <w:pPr>
        <w:pStyle w:val="a4"/>
        <w:widowControl w:val="0"/>
        <w:numPr>
          <w:ilvl w:val="0"/>
          <w:numId w:val="1"/>
        </w:numPr>
        <w:autoSpaceDE w:val="0"/>
        <w:autoSpaceDN w:val="0"/>
        <w:adjustRightInd w:val="0"/>
        <w:spacing w:after="0" w:line="240" w:lineRule="auto"/>
        <w:ind w:left="426" w:right="276" w:hanging="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phosphoric acid fuel cells (PAFC) with concentrated H</w:t>
      </w:r>
      <w:r w:rsidRPr="008F23CC">
        <w:rPr>
          <w:rFonts w:ascii="Times New Roman" w:hAnsi="Times New Roman" w:cs="Times New Roman"/>
          <w:sz w:val="20"/>
          <w:szCs w:val="20"/>
          <w:vertAlign w:val="subscript"/>
          <w:lang w:val="en-US"/>
        </w:rPr>
        <w:t>3</w:t>
      </w:r>
      <w:r w:rsidRPr="008F23CC">
        <w:rPr>
          <w:rFonts w:ascii="Times New Roman" w:hAnsi="Times New Roman" w:cs="Times New Roman"/>
          <w:sz w:val="20"/>
          <w:szCs w:val="20"/>
          <w:lang w:val="en-US"/>
        </w:rPr>
        <w:t>PO</w:t>
      </w:r>
      <w:r w:rsidRPr="008F23CC">
        <w:rPr>
          <w:rFonts w:ascii="Times New Roman" w:hAnsi="Times New Roman" w:cs="Times New Roman"/>
          <w:sz w:val="20"/>
          <w:szCs w:val="20"/>
          <w:vertAlign w:val="subscript"/>
          <w:lang w:val="en-US"/>
        </w:rPr>
        <w:t>4</w:t>
      </w:r>
      <w:r w:rsidRPr="008F23CC">
        <w:rPr>
          <w:rFonts w:ascii="Times New Roman" w:hAnsi="Times New Roman" w:cs="Times New Roman"/>
          <w:sz w:val="20"/>
          <w:szCs w:val="20"/>
          <w:lang w:val="en-US"/>
        </w:rPr>
        <w:t xml:space="preserve"> (in silicon carbide matrixes) electrolyte, which transports H</w:t>
      </w:r>
      <w:r w:rsidRPr="008F23CC">
        <w:rPr>
          <w:rFonts w:ascii="Times New Roman" w:hAnsi="Times New Roman" w:cs="Times New Roman"/>
          <w:sz w:val="20"/>
          <w:szCs w:val="20"/>
          <w:vertAlign w:val="superscript"/>
          <w:lang w:val="en-US"/>
        </w:rPr>
        <w:t>+</w:t>
      </w:r>
      <w:r w:rsidRPr="008F23CC">
        <w:rPr>
          <w:rFonts w:ascii="Times New Roman" w:hAnsi="Times New Roman" w:cs="Times New Roman"/>
          <w:sz w:val="20"/>
          <w:szCs w:val="20"/>
          <w:lang w:val="en-US"/>
        </w:rPr>
        <w:t xml:space="preserve"> cations, generated at the anode, to an ambient air exposed cathode, where they are electro-oxidized to water at moderate temperatures</w:t>
      </w:r>
    </w:p>
    <w:p w:rsidR="00E47FD1" w:rsidRPr="00E47FD1" w:rsidRDefault="00E47FD1" w:rsidP="00E47FD1">
      <w:pPr>
        <w:widowControl w:val="0"/>
        <w:autoSpaceDE w:val="0"/>
        <w:autoSpaceDN w:val="0"/>
        <w:adjustRightInd w:val="0"/>
        <w:spacing w:after="0" w:line="240" w:lineRule="auto"/>
        <w:ind w:left="142" w:right="276"/>
        <w:jc w:val="both"/>
        <w:rPr>
          <w:rFonts w:ascii="Times New Roman" w:hAnsi="Times New Roman" w:cs="Times New Roman"/>
          <w:sz w:val="16"/>
          <w:szCs w:val="16"/>
          <w:lang w:val="en-US"/>
        </w:rPr>
      </w:pPr>
    </w:p>
    <w:p w:rsidR="00E47FD1" w:rsidRDefault="00E47FD1" w:rsidP="00E47FD1">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bCs/>
          <w:iCs/>
          <w:sz w:val="20"/>
          <w:szCs w:val="20"/>
          <w:lang w:val="en-US"/>
        </w:rPr>
        <w:t xml:space="preserve">as shown in </w:t>
      </w:r>
      <w:r w:rsidRPr="008F23CC">
        <w:rPr>
          <w:rFonts w:ascii="Times New Roman" w:hAnsi="Times New Roman" w:cs="Times New Roman"/>
          <w:sz w:val="20"/>
          <w:szCs w:val="20"/>
          <w:lang w:val="en-US"/>
        </w:rPr>
        <w:t xml:space="preserve">Table 1. </w:t>
      </w:r>
      <w:r w:rsidR="003D6DF5" w:rsidRPr="008F23CC">
        <w:rPr>
          <w:rFonts w:ascii="Times New Roman" w:hAnsi="Times New Roman" w:cs="Times New Roman"/>
          <w:sz w:val="20"/>
          <w:szCs w:val="20"/>
          <w:lang w:val="en-US"/>
        </w:rPr>
        <w:t xml:space="preserve">Regardless the specific type of fuel cell, gaseous fuels (usually hydrogen) and oxidants (usually ambient air) are continuously fed to the anode </w:t>
      </w:r>
      <w:r w:rsidR="00D6310A" w:rsidRPr="008F23CC">
        <w:rPr>
          <w:rFonts w:ascii="Times New Roman" w:hAnsi="Times New Roman" w:cs="Times New Roman"/>
          <w:sz w:val="20"/>
          <w:szCs w:val="20"/>
          <w:lang w:val="en-US"/>
        </w:rPr>
        <w:t>and</w:t>
      </w:r>
      <w:r w:rsidR="003D6DF5" w:rsidRPr="008F23CC">
        <w:rPr>
          <w:rFonts w:ascii="Times New Roman" w:hAnsi="Times New Roman" w:cs="Times New Roman"/>
          <w:sz w:val="20"/>
          <w:szCs w:val="20"/>
          <w:lang w:val="en-US"/>
        </w:rPr>
        <w:t xml:space="preserve"> the cathode</w:t>
      </w:r>
      <w:r w:rsidR="00D6310A" w:rsidRPr="008F23CC">
        <w:rPr>
          <w:rFonts w:ascii="Times New Roman" w:hAnsi="Times New Roman" w:cs="Times New Roman"/>
          <w:sz w:val="20"/>
          <w:szCs w:val="20"/>
          <w:lang w:val="en-US"/>
        </w:rPr>
        <w:t>, respectively</w:t>
      </w:r>
      <w:r w:rsidR="003D6DF5" w:rsidRPr="008F23CC">
        <w:rPr>
          <w:rFonts w:ascii="Times New Roman" w:hAnsi="Times New Roman" w:cs="Times New Roman"/>
          <w:sz w:val="20"/>
          <w:szCs w:val="20"/>
          <w:lang w:val="en-US"/>
        </w:rPr>
        <w:t xml:space="preserve">. </w:t>
      </w:r>
      <w:r w:rsidR="00562367" w:rsidRPr="008F23CC">
        <w:rPr>
          <w:rFonts w:ascii="Times New Roman" w:hAnsi="Times New Roman" w:cs="Times New Roman"/>
          <w:sz w:val="20"/>
          <w:szCs w:val="20"/>
          <w:lang w:val="en-US"/>
        </w:rPr>
        <w:t xml:space="preserve">The gas streams of the reactants do not mix, since they are separated by the gas tight phase of the electrolyte. </w:t>
      </w:r>
      <w:r w:rsidR="003D6DF5" w:rsidRPr="008F23CC">
        <w:rPr>
          <w:rFonts w:ascii="Times New Roman" w:hAnsi="Times New Roman" w:cs="Times New Roman"/>
          <w:sz w:val="20"/>
          <w:szCs w:val="20"/>
          <w:lang w:val="en-US"/>
        </w:rPr>
        <w:t xml:space="preserve">The electrochemical combustion of hydrogen, and the electrochemical reduction of oxygen, takes place at the surface of the electrodes, the porosities of which are to provide an extensive area for </w:t>
      </w:r>
      <w:r w:rsidR="00562367" w:rsidRPr="008F23CC">
        <w:rPr>
          <w:rFonts w:ascii="Times New Roman" w:hAnsi="Times New Roman" w:cs="Times New Roman"/>
          <w:sz w:val="20"/>
          <w:szCs w:val="20"/>
          <w:lang w:val="en-US"/>
        </w:rPr>
        <w:t>these</w:t>
      </w:r>
      <w:r w:rsidR="003D6DF5" w:rsidRPr="008F23CC">
        <w:rPr>
          <w:rFonts w:ascii="Times New Roman" w:hAnsi="Times New Roman" w:cs="Times New Roman"/>
          <w:sz w:val="20"/>
          <w:szCs w:val="20"/>
          <w:lang w:val="en-US"/>
        </w:rPr>
        <w:t xml:space="preserve"> reactions to be catalysed</w:t>
      </w:r>
      <w:r w:rsidR="00EB0418" w:rsidRPr="008F23CC">
        <w:rPr>
          <w:rFonts w:ascii="Times New Roman" w:hAnsi="Times New Roman" w:cs="Times New Roman"/>
          <w:sz w:val="20"/>
          <w:szCs w:val="20"/>
          <w:lang w:val="en-US"/>
        </w:rPr>
        <w:t xml:space="preserve">, as well as to facilitate </w:t>
      </w:r>
      <w:r w:rsidR="00562367" w:rsidRPr="008F23CC">
        <w:rPr>
          <w:rFonts w:ascii="Times New Roman" w:hAnsi="Times New Roman" w:cs="Times New Roman"/>
          <w:sz w:val="20"/>
          <w:szCs w:val="20"/>
          <w:lang w:val="en-US"/>
        </w:rPr>
        <w:t xml:space="preserve">the </w:t>
      </w:r>
      <w:r w:rsidR="00EB0418" w:rsidRPr="008F23CC">
        <w:rPr>
          <w:rFonts w:ascii="Times New Roman" w:hAnsi="Times New Roman" w:cs="Times New Roman"/>
          <w:sz w:val="20"/>
          <w:szCs w:val="20"/>
          <w:lang w:val="en-US"/>
        </w:rPr>
        <w:t xml:space="preserve">mass transport </w:t>
      </w:r>
      <w:r w:rsidR="00562367" w:rsidRPr="008F23CC">
        <w:rPr>
          <w:rFonts w:ascii="Times New Roman" w:hAnsi="Times New Roman" w:cs="Times New Roman"/>
          <w:sz w:val="20"/>
          <w:szCs w:val="20"/>
          <w:lang w:val="en-US"/>
        </w:rPr>
        <w:t xml:space="preserve">of the reactants/products </w:t>
      </w:r>
      <w:r w:rsidR="00EB0418" w:rsidRPr="008F23CC">
        <w:rPr>
          <w:rFonts w:ascii="Times New Roman" w:hAnsi="Times New Roman" w:cs="Times New Roman"/>
          <w:sz w:val="20"/>
          <w:szCs w:val="20"/>
          <w:lang w:val="en-US"/>
        </w:rPr>
        <w:t>to</w:t>
      </w:r>
      <w:r w:rsidR="00562367" w:rsidRPr="008F23CC">
        <w:rPr>
          <w:rFonts w:ascii="Times New Roman" w:hAnsi="Times New Roman" w:cs="Times New Roman"/>
          <w:sz w:val="20"/>
          <w:szCs w:val="20"/>
          <w:lang w:val="en-US"/>
        </w:rPr>
        <w:t>/</w:t>
      </w:r>
      <w:r w:rsidR="00EB0418" w:rsidRPr="008F23CC">
        <w:rPr>
          <w:rFonts w:ascii="Times New Roman" w:hAnsi="Times New Roman" w:cs="Times New Roman"/>
          <w:sz w:val="20"/>
          <w:szCs w:val="20"/>
          <w:lang w:val="en-US"/>
        </w:rPr>
        <w:t>from</w:t>
      </w:r>
      <w:r w:rsidR="00562367" w:rsidRPr="008F23CC">
        <w:rPr>
          <w:rFonts w:ascii="Times New Roman" w:hAnsi="Times New Roman" w:cs="Times New Roman"/>
          <w:sz w:val="20"/>
          <w:szCs w:val="20"/>
          <w:lang w:val="en-US"/>
        </w:rPr>
        <w:t xml:space="preserve"> the electrolyte</w:t>
      </w:r>
      <w:r w:rsidR="00EB0418" w:rsidRPr="008F23CC">
        <w:rPr>
          <w:rFonts w:ascii="Times New Roman" w:hAnsi="Times New Roman" w:cs="Times New Roman"/>
          <w:sz w:val="20"/>
          <w:szCs w:val="20"/>
          <w:lang w:val="en-US"/>
        </w:rPr>
        <w:t xml:space="preserve"> </w:t>
      </w:r>
      <w:r w:rsidR="00562367" w:rsidRPr="008F23CC">
        <w:rPr>
          <w:rFonts w:ascii="Times New Roman" w:hAnsi="Times New Roman" w:cs="Times New Roman"/>
          <w:sz w:val="20"/>
          <w:szCs w:val="20"/>
          <w:lang w:val="en-US"/>
        </w:rPr>
        <w:t xml:space="preserve">from/to </w:t>
      </w:r>
      <w:r w:rsidR="00EB0418" w:rsidRPr="008F23CC">
        <w:rPr>
          <w:rFonts w:ascii="Times New Roman" w:hAnsi="Times New Roman" w:cs="Times New Roman"/>
          <w:sz w:val="20"/>
          <w:szCs w:val="20"/>
          <w:lang w:val="en-US"/>
        </w:rPr>
        <w:t>the gas phase</w:t>
      </w:r>
      <w:r w:rsidR="003D6DF5" w:rsidRPr="008F23CC">
        <w:rPr>
          <w:rFonts w:ascii="Times New Roman" w:hAnsi="Times New Roman" w:cs="Times New Roman"/>
          <w:sz w:val="20"/>
          <w:szCs w:val="20"/>
          <w:lang w:val="en-US"/>
        </w:rPr>
        <w:t xml:space="preserve">. </w:t>
      </w:r>
      <w:r w:rsidR="00535099" w:rsidRPr="008F23CC">
        <w:rPr>
          <w:rFonts w:ascii="Times New Roman" w:hAnsi="Times New Roman" w:cs="Times New Roman"/>
          <w:sz w:val="20"/>
          <w:szCs w:val="20"/>
          <w:lang w:val="en-US"/>
        </w:rPr>
        <w:t>Under closed circuit, the electrochemical reactions involve a number of sequential steps, including adsorption/desorption</w:t>
      </w:r>
      <w:r w:rsidR="00574F67">
        <w:rPr>
          <w:rFonts w:ascii="Times New Roman" w:hAnsi="Times New Roman" w:cs="Times New Roman"/>
          <w:sz w:val="20"/>
          <w:szCs w:val="20"/>
          <w:lang w:val="en-US"/>
        </w:rPr>
        <w:t>,</w:t>
      </w:r>
      <w:r w:rsidR="00535099" w:rsidRPr="008F23CC">
        <w:rPr>
          <w:rFonts w:ascii="Times New Roman" w:hAnsi="Times New Roman" w:cs="Times New Roman"/>
          <w:sz w:val="20"/>
          <w:szCs w:val="20"/>
          <w:lang w:val="en-US"/>
        </w:rPr>
        <w:t xml:space="preserve"> surface diffusion of reactants or products, </w:t>
      </w:r>
      <w:r w:rsidR="00C43173" w:rsidRPr="008F23CC">
        <w:rPr>
          <w:rFonts w:ascii="Times New Roman" w:hAnsi="Times New Roman" w:cs="Times New Roman"/>
          <w:sz w:val="20"/>
          <w:szCs w:val="20"/>
          <w:lang w:val="en-US"/>
        </w:rPr>
        <w:t>and</w:t>
      </w:r>
      <w:r w:rsidR="00535099" w:rsidRPr="008F23CC">
        <w:rPr>
          <w:rFonts w:ascii="Times New Roman" w:hAnsi="Times New Roman" w:cs="Times New Roman"/>
          <w:sz w:val="20"/>
          <w:szCs w:val="20"/>
          <w:lang w:val="en-US"/>
        </w:rPr>
        <w:t xml:space="preserve"> the charge transfer to or from the electrode</w:t>
      </w:r>
      <w:r w:rsidR="00574F67">
        <w:rPr>
          <w:rFonts w:ascii="Times New Roman" w:hAnsi="Times New Roman" w:cs="Times New Roman"/>
          <w:sz w:val="20"/>
          <w:szCs w:val="20"/>
          <w:lang w:val="en-US"/>
        </w:rPr>
        <w:t>. Charge transfer</w:t>
      </w:r>
      <w:r w:rsidR="00535099" w:rsidRPr="008F23CC">
        <w:rPr>
          <w:rFonts w:ascii="Times New Roman" w:hAnsi="Times New Roman" w:cs="Times New Roman"/>
          <w:sz w:val="20"/>
          <w:szCs w:val="20"/>
          <w:lang w:val="en-US"/>
        </w:rPr>
        <w:t xml:space="preserve"> is restricted to a narrow (almost one-dimensional) three-phase-boundary </w:t>
      </w:r>
      <w:r w:rsidR="00535099" w:rsidRPr="008F23CC">
        <w:rPr>
          <w:rFonts w:ascii="Times New Roman" w:hAnsi="Times New Roman" w:cs="Times New Roman"/>
          <w:sz w:val="20"/>
          <w:szCs w:val="20"/>
          <w:lang w:val="en-US"/>
        </w:rPr>
        <w:lastRenderedPageBreak/>
        <w:t>(tpb) among the gaseous reactants, the electrolyte, and the electrode-catalyst.</w:t>
      </w:r>
    </w:p>
    <w:p w:rsidR="003F4C72" w:rsidRDefault="003F4C72" w:rsidP="003F4C72">
      <w:pPr>
        <w:widowControl w:val="0"/>
        <w:autoSpaceDE w:val="0"/>
        <w:autoSpaceDN w:val="0"/>
        <w:adjustRightInd w:val="0"/>
        <w:spacing w:after="0" w:line="240" w:lineRule="auto"/>
        <w:jc w:val="both"/>
        <w:rPr>
          <w:rFonts w:ascii="Times New Roman" w:hAnsi="Times New Roman" w:cs="Times New Roman"/>
          <w:b/>
          <w:sz w:val="20"/>
          <w:szCs w:val="20"/>
          <w:lang w:val="en-US"/>
        </w:rPr>
      </w:pPr>
    </w:p>
    <w:p w:rsidR="003F4C72" w:rsidRPr="008F23CC" w:rsidRDefault="003F4C72" w:rsidP="003F4C72">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b/>
          <w:sz w:val="20"/>
          <w:szCs w:val="20"/>
          <w:lang w:val="en-US"/>
        </w:rPr>
        <w:t>Table 1</w:t>
      </w:r>
      <w:r w:rsidRPr="008F23CC">
        <w:rPr>
          <w:rFonts w:ascii="Times New Roman" w:hAnsi="Times New Roman" w:cs="Times New Roman"/>
          <w:sz w:val="20"/>
          <w:szCs w:val="20"/>
          <w:lang w:val="en-US"/>
        </w:rPr>
        <w:t xml:space="preserve"> Fuel cell types</w:t>
      </w:r>
    </w:p>
    <w:tbl>
      <w:tblPr>
        <w:tblStyle w:val="a3"/>
        <w:tblW w:w="84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2977"/>
        <w:gridCol w:w="2268"/>
        <w:gridCol w:w="2410"/>
      </w:tblGrid>
      <w:tr w:rsidR="003F4C72" w:rsidRPr="00AA5EB0" w:rsidTr="00D11295">
        <w:tc>
          <w:tcPr>
            <w:tcW w:w="817" w:type="dxa"/>
            <w:shd w:val="clear" w:color="auto" w:fill="E36C0A" w:themeFill="accent6" w:themeFillShade="BF"/>
          </w:tcPr>
          <w:p w:rsidR="003F4C72" w:rsidRPr="00AA5EB0" w:rsidRDefault="003F4C72" w:rsidP="00D11295">
            <w:pPr>
              <w:widowControl w:val="0"/>
              <w:autoSpaceDE w:val="0"/>
              <w:autoSpaceDN w:val="0"/>
              <w:adjustRightInd w:val="0"/>
              <w:jc w:val="center"/>
              <w:rPr>
                <w:rFonts w:ascii="Times New Roman" w:hAnsi="Times New Roman" w:cs="Times New Roman"/>
                <w:sz w:val="18"/>
                <w:szCs w:val="18"/>
                <w:lang w:val="en-US"/>
              </w:rPr>
            </w:pPr>
          </w:p>
        </w:tc>
        <w:tc>
          <w:tcPr>
            <w:tcW w:w="2977" w:type="dxa"/>
            <w:shd w:val="clear" w:color="auto" w:fill="E36C0A" w:themeFill="accent6" w:themeFillShade="BF"/>
          </w:tcPr>
          <w:p w:rsidR="003F4C72" w:rsidRPr="006E7F50" w:rsidRDefault="003F4C72" w:rsidP="00D11295">
            <w:pPr>
              <w:widowControl w:val="0"/>
              <w:autoSpaceDE w:val="0"/>
              <w:autoSpaceDN w:val="0"/>
              <w:adjustRightInd w:val="0"/>
              <w:ind w:left="-108" w:right="-108"/>
              <w:jc w:val="center"/>
              <w:rPr>
                <w:rFonts w:ascii="Times New Roman" w:hAnsi="Times New Roman" w:cs="Times New Roman"/>
                <w:b/>
                <w:sz w:val="18"/>
                <w:szCs w:val="18"/>
                <w:lang w:val="en-US"/>
              </w:rPr>
            </w:pPr>
            <w:r w:rsidRPr="006E7F50">
              <w:rPr>
                <w:rFonts w:ascii="Times New Roman" w:hAnsi="Times New Roman" w:cs="Times New Roman"/>
                <w:b/>
                <w:sz w:val="18"/>
                <w:szCs w:val="18"/>
                <w:lang w:val="en-US"/>
              </w:rPr>
              <w:t>anodic reaction</w:t>
            </w:r>
          </w:p>
        </w:tc>
        <w:tc>
          <w:tcPr>
            <w:tcW w:w="2268" w:type="dxa"/>
            <w:shd w:val="clear" w:color="auto" w:fill="E36C0A" w:themeFill="accent6" w:themeFillShade="BF"/>
          </w:tcPr>
          <w:p w:rsidR="003F4C72" w:rsidRPr="006E7F50" w:rsidRDefault="003F4C72" w:rsidP="00D11295">
            <w:pPr>
              <w:widowControl w:val="0"/>
              <w:autoSpaceDE w:val="0"/>
              <w:autoSpaceDN w:val="0"/>
              <w:adjustRightInd w:val="0"/>
              <w:ind w:left="-108" w:right="-108"/>
              <w:jc w:val="center"/>
              <w:rPr>
                <w:rFonts w:ascii="Times New Roman" w:hAnsi="Times New Roman" w:cs="Times New Roman"/>
                <w:b/>
                <w:sz w:val="18"/>
                <w:szCs w:val="18"/>
                <w:lang w:val="en-US"/>
              </w:rPr>
            </w:pPr>
            <w:r w:rsidRPr="006E7F50">
              <w:rPr>
                <w:rFonts w:ascii="Times New Roman" w:hAnsi="Times New Roman" w:cs="Times New Roman"/>
                <w:b/>
                <w:sz w:val="18"/>
                <w:szCs w:val="18"/>
                <w:lang w:val="en-US"/>
              </w:rPr>
              <w:t>electrolyte</w:t>
            </w:r>
          </w:p>
        </w:tc>
        <w:tc>
          <w:tcPr>
            <w:tcW w:w="2410" w:type="dxa"/>
            <w:shd w:val="clear" w:color="auto" w:fill="E36C0A" w:themeFill="accent6" w:themeFillShade="BF"/>
          </w:tcPr>
          <w:p w:rsidR="003F4C72" w:rsidRPr="006E7F50" w:rsidRDefault="003F4C72" w:rsidP="00D11295">
            <w:pPr>
              <w:widowControl w:val="0"/>
              <w:autoSpaceDE w:val="0"/>
              <w:autoSpaceDN w:val="0"/>
              <w:adjustRightInd w:val="0"/>
              <w:ind w:left="-108" w:right="-108"/>
              <w:jc w:val="center"/>
              <w:rPr>
                <w:rFonts w:ascii="Times New Roman" w:hAnsi="Times New Roman" w:cs="Times New Roman"/>
                <w:b/>
                <w:sz w:val="18"/>
                <w:szCs w:val="18"/>
                <w:lang w:val="en-US"/>
              </w:rPr>
            </w:pPr>
            <w:r w:rsidRPr="006E7F50">
              <w:rPr>
                <w:rFonts w:ascii="Times New Roman" w:hAnsi="Times New Roman" w:cs="Times New Roman"/>
                <w:b/>
                <w:sz w:val="18"/>
                <w:szCs w:val="18"/>
                <w:lang w:val="en-US"/>
              </w:rPr>
              <w:t>cathodic reaction</w:t>
            </w:r>
          </w:p>
        </w:tc>
      </w:tr>
      <w:tr w:rsidR="003F4C72" w:rsidRPr="00AA5EB0" w:rsidTr="00D11295">
        <w:tc>
          <w:tcPr>
            <w:tcW w:w="817" w:type="dxa"/>
            <w:vMerge w:val="restart"/>
            <w:shd w:val="clear" w:color="auto" w:fill="FDE9D9" w:themeFill="accent6" w:themeFillTint="33"/>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r w:rsidRPr="00AA5EB0">
              <w:rPr>
                <w:rFonts w:ascii="Times New Roman" w:hAnsi="Times New Roman" w:cs="Times New Roman"/>
                <w:b/>
                <w:sz w:val="18"/>
                <w:szCs w:val="18"/>
                <w:lang w:val="en-US"/>
              </w:rPr>
              <w:t>PEFC</w:t>
            </w:r>
          </w:p>
        </w:tc>
        <w:tc>
          <w:tcPr>
            <w:tcW w:w="2977" w:type="dxa"/>
            <w:vMerge w:val="restart"/>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p>
        </w:tc>
        <w:tc>
          <w:tcPr>
            <w:tcW w:w="2268" w:type="dxa"/>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polymer membranes</w:t>
            </w:r>
          </w:p>
        </w:tc>
        <w:tc>
          <w:tcPr>
            <w:tcW w:w="2410" w:type="dxa"/>
            <w:vMerge w:val="restart"/>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+ 4H</w:t>
            </w:r>
            <w:r>
              <w:rPr>
                <w:rFonts w:ascii="Times New Roman" w:hAnsi="Times New Roman" w:cs="Times New Roman"/>
                <w:sz w:val="18"/>
                <w:szCs w:val="18"/>
                <w:vertAlign w:val="superscript"/>
                <w:lang w:val="en-US"/>
              </w:rPr>
              <w:t>+</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2H</w:t>
            </w:r>
            <w:r w:rsidRPr="00CE0409">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O</w:t>
            </w:r>
          </w:p>
        </w:tc>
      </w:tr>
      <w:tr w:rsidR="003F4C72" w:rsidRPr="00AA5EB0" w:rsidTr="00D11295">
        <w:tc>
          <w:tcPr>
            <w:tcW w:w="817" w:type="dxa"/>
            <w:vMerge/>
            <w:shd w:val="clear" w:color="auto" w:fill="FDE9D9" w:themeFill="accent6" w:themeFillTint="33"/>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p>
        </w:tc>
        <w:tc>
          <w:tcPr>
            <w:tcW w:w="2977" w:type="dxa"/>
            <w:vMerge/>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c>
          <w:tcPr>
            <w:tcW w:w="2268" w:type="dxa"/>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charge carrier</w:t>
            </w:r>
            <w:r>
              <w:rPr>
                <w:rFonts w:ascii="Times New Roman" w:hAnsi="Times New Roman" w:cs="Times New Roman"/>
                <w:sz w:val="18"/>
                <w:szCs w:val="18"/>
                <w:lang w:val="en-US"/>
              </w:rPr>
              <w:t>:</w:t>
            </w:r>
            <w:r w:rsidRPr="00AA5EB0">
              <w:rPr>
                <w:rFonts w:ascii="Times New Roman" w:hAnsi="Times New Roman" w:cs="Times New Roman"/>
                <w:sz w:val="18"/>
                <w:szCs w:val="18"/>
                <w:lang w:val="en-US"/>
              </w:rPr>
              <w:t xml:space="preserve"> H</w:t>
            </w:r>
            <w:r w:rsidRPr="006B5A7C">
              <w:rPr>
                <w:rFonts w:ascii="Times New Roman" w:hAnsi="Times New Roman" w:cs="Times New Roman"/>
                <w:sz w:val="18"/>
                <w:szCs w:val="18"/>
                <w:vertAlign w:val="superscript"/>
                <w:lang w:val="en-US"/>
              </w:rPr>
              <w:t>+</w:t>
            </w:r>
          </w:p>
        </w:tc>
        <w:tc>
          <w:tcPr>
            <w:tcW w:w="2410" w:type="dxa"/>
            <w:vMerge/>
            <w:shd w:val="clear" w:color="auto" w:fill="FDE9D9" w:themeFill="accent6" w:themeFillTint="33"/>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r>
      <w:tr w:rsidR="003F4C72" w:rsidRPr="00AA5EB0" w:rsidTr="00D11295">
        <w:tc>
          <w:tcPr>
            <w:tcW w:w="817" w:type="dxa"/>
            <w:vMerge w:val="restart"/>
            <w:shd w:val="clear" w:color="auto" w:fill="FBD4B4" w:themeFill="accent6" w:themeFillTint="66"/>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r w:rsidRPr="00AA5EB0">
              <w:rPr>
                <w:rFonts w:ascii="Times New Roman" w:hAnsi="Times New Roman" w:cs="Times New Roman"/>
                <w:b/>
                <w:sz w:val="18"/>
                <w:szCs w:val="18"/>
                <w:lang w:val="en-US"/>
              </w:rPr>
              <w:t>SOFC</w:t>
            </w:r>
          </w:p>
        </w:tc>
        <w:tc>
          <w:tcPr>
            <w:tcW w:w="2977" w:type="dxa"/>
            <w:vMerge w:val="restart"/>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+ 2O</w:t>
            </w:r>
            <w:r w:rsidRPr="00CE0409">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2H</w:t>
            </w:r>
            <w:r w:rsidRPr="00CE0409">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O</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p>
        </w:tc>
        <w:tc>
          <w:tcPr>
            <w:tcW w:w="2268" w:type="dxa"/>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mixed </w:t>
            </w:r>
            <w:r w:rsidRPr="00AA5EB0">
              <w:rPr>
                <w:rFonts w:ascii="Times New Roman" w:hAnsi="Times New Roman" w:cs="Times New Roman"/>
                <w:sz w:val="18"/>
                <w:szCs w:val="18"/>
                <w:lang w:val="en-US"/>
              </w:rPr>
              <w:t>ceramic</w:t>
            </w:r>
            <w:r>
              <w:rPr>
                <w:rFonts w:ascii="Times New Roman" w:hAnsi="Times New Roman" w:cs="Times New Roman"/>
                <w:sz w:val="18"/>
                <w:szCs w:val="18"/>
                <w:lang w:val="en-US"/>
              </w:rPr>
              <w:t xml:space="preserve"> oxides</w:t>
            </w:r>
          </w:p>
        </w:tc>
        <w:tc>
          <w:tcPr>
            <w:tcW w:w="2410" w:type="dxa"/>
            <w:vMerge w:val="restart"/>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2</w:t>
            </w:r>
            <w:r>
              <w:rPr>
                <w:rFonts w:ascii="Times New Roman" w:hAnsi="Times New Roman" w:cs="Times New Roman"/>
                <w:sz w:val="18"/>
                <w:szCs w:val="18"/>
                <w:lang w:val="en-US"/>
              </w:rPr>
              <w:t>O</w:t>
            </w:r>
            <w:r w:rsidRPr="00CE0409">
              <w:rPr>
                <w:rFonts w:ascii="Times New Roman" w:hAnsi="Times New Roman" w:cs="Times New Roman"/>
                <w:sz w:val="18"/>
                <w:szCs w:val="18"/>
                <w:vertAlign w:val="superscript"/>
                <w:lang w:val="en-US"/>
              </w:rPr>
              <w:t>2-</w:t>
            </w:r>
          </w:p>
        </w:tc>
      </w:tr>
      <w:tr w:rsidR="003F4C72" w:rsidRPr="00AA5EB0" w:rsidTr="00D11295">
        <w:tc>
          <w:tcPr>
            <w:tcW w:w="817" w:type="dxa"/>
            <w:vMerge/>
            <w:shd w:val="clear" w:color="auto" w:fill="FBD4B4" w:themeFill="accent6" w:themeFillTint="66"/>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p>
        </w:tc>
        <w:tc>
          <w:tcPr>
            <w:tcW w:w="2977" w:type="dxa"/>
            <w:vMerge/>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c>
          <w:tcPr>
            <w:tcW w:w="2268" w:type="dxa"/>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charge carrier</w:t>
            </w:r>
            <w:r>
              <w:rPr>
                <w:rFonts w:ascii="Times New Roman" w:hAnsi="Times New Roman" w:cs="Times New Roman"/>
                <w:sz w:val="18"/>
                <w:szCs w:val="18"/>
                <w:lang w:val="en-US"/>
              </w:rPr>
              <w:t xml:space="preserve">: </w:t>
            </w:r>
            <w:r w:rsidRPr="00AA5EB0">
              <w:rPr>
                <w:rFonts w:ascii="Times New Roman" w:hAnsi="Times New Roman" w:cs="Times New Roman"/>
                <w:sz w:val="18"/>
                <w:szCs w:val="18"/>
                <w:lang w:val="en-US"/>
              </w:rPr>
              <w:t>O</w:t>
            </w:r>
            <w:r w:rsidRPr="006B5A7C">
              <w:rPr>
                <w:rFonts w:ascii="Times New Roman" w:hAnsi="Times New Roman" w:cs="Times New Roman"/>
                <w:sz w:val="18"/>
                <w:szCs w:val="18"/>
                <w:vertAlign w:val="superscript"/>
                <w:lang w:val="en-US"/>
              </w:rPr>
              <w:t>2-</w:t>
            </w:r>
          </w:p>
        </w:tc>
        <w:tc>
          <w:tcPr>
            <w:tcW w:w="2410" w:type="dxa"/>
            <w:vMerge/>
            <w:shd w:val="clear" w:color="auto" w:fill="FBD4B4" w:themeFill="accent6"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r>
      <w:tr w:rsidR="003F4C72" w:rsidRPr="00AA5EB0" w:rsidTr="00D11295">
        <w:tc>
          <w:tcPr>
            <w:tcW w:w="817" w:type="dxa"/>
            <w:vMerge w:val="restart"/>
            <w:shd w:val="clear" w:color="auto" w:fill="FABF8F" w:themeFill="accent6" w:themeFillTint="99"/>
            <w:vAlign w:val="center"/>
          </w:tcPr>
          <w:p w:rsidR="003F4C72" w:rsidRPr="00AA5EB0" w:rsidRDefault="003F4C72" w:rsidP="00D11295">
            <w:pPr>
              <w:widowControl w:val="0"/>
              <w:autoSpaceDE w:val="0"/>
              <w:autoSpaceDN w:val="0"/>
              <w:adjustRightInd w:val="0"/>
              <w:ind w:right="-147"/>
              <w:rPr>
                <w:rFonts w:ascii="Times New Roman" w:hAnsi="Times New Roman" w:cs="Times New Roman"/>
                <w:sz w:val="18"/>
                <w:szCs w:val="18"/>
                <w:lang w:val="en-US"/>
              </w:rPr>
            </w:pPr>
            <w:r w:rsidRPr="00AA5EB0">
              <w:rPr>
                <w:rFonts w:ascii="Times New Roman" w:hAnsi="Times New Roman" w:cs="Times New Roman"/>
                <w:b/>
                <w:sz w:val="18"/>
                <w:szCs w:val="18"/>
                <w:lang w:val="en-US"/>
              </w:rPr>
              <w:t>MCFC</w:t>
            </w:r>
          </w:p>
        </w:tc>
        <w:tc>
          <w:tcPr>
            <w:tcW w:w="2977" w:type="dxa"/>
            <w:vMerge w:val="restart"/>
            <w:shd w:val="clear" w:color="auto" w:fill="FABF8F" w:themeFill="accent6"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+ 2CO</w:t>
            </w:r>
            <w:r>
              <w:rPr>
                <w:rFonts w:ascii="Times New Roman" w:hAnsi="Times New Roman" w:cs="Times New Roman"/>
                <w:sz w:val="18"/>
                <w:szCs w:val="18"/>
                <w:vertAlign w:val="subscript"/>
                <w:lang w:val="en-US"/>
              </w:rPr>
              <w:t>3</w:t>
            </w:r>
            <w:r>
              <w:rPr>
                <w:rFonts w:ascii="Times New Roman" w:hAnsi="Times New Roman" w:cs="Times New Roman"/>
                <w:sz w:val="18"/>
                <w:szCs w:val="18"/>
                <w:vertAlign w:val="superscript"/>
                <w:lang w:val="en-US"/>
              </w:rPr>
              <w:t>2</w:t>
            </w:r>
            <w:r w:rsidRPr="00CE0409">
              <w:rPr>
                <w:rFonts w:ascii="Times New Roman" w:hAnsi="Times New Roman" w:cs="Times New Roman"/>
                <w:sz w:val="18"/>
                <w:szCs w:val="18"/>
                <w:vertAlign w:val="superscript"/>
                <w:lang w:val="en-US"/>
              </w:rPr>
              <w:t>-</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O</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2CO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p>
        </w:tc>
        <w:tc>
          <w:tcPr>
            <w:tcW w:w="2268" w:type="dxa"/>
            <w:shd w:val="clear" w:color="auto" w:fill="FABF8F" w:themeFill="accent6"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immobilized molten carbonate</w:t>
            </w:r>
          </w:p>
        </w:tc>
        <w:tc>
          <w:tcPr>
            <w:tcW w:w="2410" w:type="dxa"/>
            <w:vMerge w:val="restart"/>
            <w:shd w:val="clear" w:color="auto" w:fill="FABF8F" w:themeFill="accent6" w:themeFillTint="99"/>
            <w:vAlign w:val="center"/>
          </w:tcPr>
          <w:p w:rsidR="003F4C72" w:rsidRPr="006B5A7C" w:rsidRDefault="003F4C72" w:rsidP="00D11295">
            <w:pPr>
              <w:widowControl w:val="0"/>
              <w:autoSpaceDE w:val="0"/>
              <w:autoSpaceDN w:val="0"/>
              <w:adjustRightInd w:val="0"/>
              <w:ind w:left="-108" w:right="-108"/>
              <w:jc w:val="center"/>
              <w:rPr>
                <w:rFonts w:ascii="Times New Roman" w:hAnsi="Times New Roman" w:cs="Times New Roman"/>
                <w:sz w:val="18"/>
                <w:szCs w:val="18"/>
                <w:vertAlign w:val="subscript"/>
                <w:lang w:val="en-US"/>
              </w:rPr>
            </w:pPr>
            <w:r>
              <w:rPr>
                <w:rFonts w:ascii="Times New Roman" w:hAnsi="Times New Roman" w:cs="Times New Roman"/>
                <w:sz w:val="18"/>
                <w:szCs w:val="18"/>
                <w:lang w:val="en-US"/>
              </w:rPr>
              <w:t>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+ 2CO</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2CO</w:t>
            </w:r>
            <w:r>
              <w:rPr>
                <w:rFonts w:ascii="Times New Roman" w:hAnsi="Times New Roman" w:cs="Times New Roman"/>
                <w:sz w:val="18"/>
                <w:szCs w:val="18"/>
                <w:vertAlign w:val="subscript"/>
                <w:lang w:val="en-US"/>
              </w:rPr>
              <w:t>3</w:t>
            </w:r>
            <w:r>
              <w:rPr>
                <w:rFonts w:ascii="Times New Roman" w:hAnsi="Times New Roman" w:cs="Times New Roman"/>
                <w:sz w:val="18"/>
                <w:szCs w:val="18"/>
                <w:vertAlign w:val="superscript"/>
                <w:lang w:val="en-US"/>
              </w:rPr>
              <w:t>2</w:t>
            </w:r>
            <w:r w:rsidRPr="00CE0409">
              <w:rPr>
                <w:rFonts w:ascii="Times New Roman" w:hAnsi="Times New Roman" w:cs="Times New Roman"/>
                <w:sz w:val="18"/>
                <w:szCs w:val="18"/>
                <w:vertAlign w:val="superscript"/>
                <w:lang w:val="en-US"/>
              </w:rPr>
              <w:t>-</w:t>
            </w:r>
          </w:p>
        </w:tc>
      </w:tr>
      <w:tr w:rsidR="003F4C72" w:rsidRPr="00AA5EB0" w:rsidTr="00D11295">
        <w:tc>
          <w:tcPr>
            <w:tcW w:w="817" w:type="dxa"/>
            <w:vMerge/>
            <w:shd w:val="clear" w:color="auto" w:fill="FABF8F" w:themeFill="accent6" w:themeFillTint="99"/>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p>
        </w:tc>
        <w:tc>
          <w:tcPr>
            <w:tcW w:w="2977" w:type="dxa"/>
            <w:vMerge/>
            <w:shd w:val="clear" w:color="auto" w:fill="FABF8F" w:themeFill="accent6"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c>
          <w:tcPr>
            <w:tcW w:w="2268" w:type="dxa"/>
            <w:shd w:val="clear" w:color="auto" w:fill="FABF8F" w:themeFill="accent6"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charge carrier</w:t>
            </w:r>
            <w:r>
              <w:rPr>
                <w:rFonts w:ascii="Times New Roman" w:hAnsi="Times New Roman" w:cs="Times New Roman"/>
                <w:sz w:val="18"/>
                <w:szCs w:val="18"/>
                <w:lang w:val="en-US"/>
              </w:rPr>
              <w:t>:</w:t>
            </w:r>
            <w:r w:rsidRPr="00AA5EB0">
              <w:rPr>
                <w:rFonts w:ascii="Times New Roman" w:hAnsi="Times New Roman" w:cs="Times New Roman"/>
                <w:sz w:val="18"/>
                <w:szCs w:val="18"/>
                <w:lang w:val="en-US"/>
              </w:rPr>
              <w:t xml:space="preserve"> CO</w:t>
            </w:r>
            <w:r w:rsidRPr="006B5A7C">
              <w:rPr>
                <w:rFonts w:ascii="Times New Roman" w:hAnsi="Times New Roman" w:cs="Times New Roman"/>
                <w:sz w:val="18"/>
                <w:szCs w:val="18"/>
                <w:vertAlign w:val="subscript"/>
                <w:lang w:val="en-US"/>
              </w:rPr>
              <w:t>3</w:t>
            </w:r>
            <w:r w:rsidRPr="006B5A7C">
              <w:rPr>
                <w:rFonts w:ascii="Times New Roman" w:hAnsi="Times New Roman" w:cs="Times New Roman"/>
                <w:sz w:val="18"/>
                <w:szCs w:val="18"/>
                <w:vertAlign w:val="superscript"/>
                <w:lang w:val="en-US"/>
              </w:rPr>
              <w:t>2-</w:t>
            </w:r>
          </w:p>
        </w:tc>
        <w:tc>
          <w:tcPr>
            <w:tcW w:w="2410" w:type="dxa"/>
            <w:vMerge/>
            <w:shd w:val="clear" w:color="auto" w:fill="FABF8F" w:themeFill="accent6"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r>
      <w:tr w:rsidR="003F4C72" w:rsidRPr="00AA5EB0" w:rsidTr="00D11295">
        <w:tc>
          <w:tcPr>
            <w:tcW w:w="817" w:type="dxa"/>
            <w:vMerge w:val="restart"/>
            <w:shd w:val="clear" w:color="auto" w:fill="E5B8B7" w:themeFill="accent2" w:themeFillTint="66"/>
            <w:vAlign w:val="center"/>
          </w:tcPr>
          <w:p w:rsidR="003F4C72" w:rsidRPr="00AA5EB0" w:rsidRDefault="003F4C72" w:rsidP="00D11295">
            <w:pPr>
              <w:widowControl w:val="0"/>
              <w:autoSpaceDE w:val="0"/>
              <w:autoSpaceDN w:val="0"/>
              <w:adjustRightInd w:val="0"/>
              <w:rPr>
                <w:rFonts w:ascii="Times New Roman" w:hAnsi="Times New Roman" w:cs="Times New Roman"/>
                <w:sz w:val="18"/>
                <w:szCs w:val="18"/>
                <w:lang w:val="en-US"/>
              </w:rPr>
            </w:pPr>
            <w:r w:rsidRPr="00AA5EB0">
              <w:rPr>
                <w:rFonts w:ascii="Times New Roman" w:hAnsi="Times New Roman" w:cs="Times New Roman"/>
                <w:b/>
                <w:sz w:val="18"/>
                <w:szCs w:val="18"/>
                <w:lang w:val="en-US"/>
              </w:rPr>
              <w:t>PAFC</w:t>
            </w:r>
          </w:p>
        </w:tc>
        <w:tc>
          <w:tcPr>
            <w:tcW w:w="2977" w:type="dxa"/>
            <w:vMerge w:val="restart"/>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p>
        </w:tc>
        <w:tc>
          <w:tcPr>
            <w:tcW w:w="2268" w:type="dxa"/>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immobilized liquid H</w:t>
            </w:r>
            <w:r w:rsidRPr="006B5A7C">
              <w:rPr>
                <w:rFonts w:ascii="Times New Roman" w:hAnsi="Times New Roman" w:cs="Times New Roman"/>
                <w:sz w:val="18"/>
                <w:szCs w:val="18"/>
                <w:vertAlign w:val="subscript"/>
                <w:lang w:val="en-US"/>
              </w:rPr>
              <w:t>3</w:t>
            </w:r>
            <w:r w:rsidRPr="00AA5EB0">
              <w:rPr>
                <w:rFonts w:ascii="Times New Roman" w:hAnsi="Times New Roman" w:cs="Times New Roman"/>
                <w:sz w:val="18"/>
                <w:szCs w:val="18"/>
                <w:lang w:val="en-US"/>
              </w:rPr>
              <w:t>PO</w:t>
            </w:r>
            <w:r w:rsidRPr="006B5A7C">
              <w:rPr>
                <w:rFonts w:ascii="Times New Roman" w:hAnsi="Times New Roman" w:cs="Times New Roman"/>
                <w:sz w:val="18"/>
                <w:szCs w:val="18"/>
                <w:vertAlign w:val="subscript"/>
                <w:lang w:val="en-US"/>
              </w:rPr>
              <w:t>4</w:t>
            </w:r>
          </w:p>
        </w:tc>
        <w:tc>
          <w:tcPr>
            <w:tcW w:w="2410" w:type="dxa"/>
            <w:vMerge w:val="restart"/>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+ 2CO</w:t>
            </w:r>
            <w:r>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2CO</w:t>
            </w:r>
            <w:r>
              <w:rPr>
                <w:rFonts w:ascii="Times New Roman" w:hAnsi="Times New Roman" w:cs="Times New Roman"/>
                <w:sz w:val="18"/>
                <w:szCs w:val="18"/>
                <w:vertAlign w:val="subscript"/>
                <w:lang w:val="en-US"/>
              </w:rPr>
              <w:t>3</w:t>
            </w:r>
            <w:r>
              <w:rPr>
                <w:rFonts w:ascii="Times New Roman" w:hAnsi="Times New Roman" w:cs="Times New Roman"/>
                <w:sz w:val="18"/>
                <w:szCs w:val="18"/>
                <w:vertAlign w:val="superscript"/>
                <w:lang w:val="en-US"/>
              </w:rPr>
              <w:t>2</w:t>
            </w:r>
            <w:r w:rsidRPr="00CE0409">
              <w:rPr>
                <w:rFonts w:ascii="Times New Roman" w:hAnsi="Times New Roman" w:cs="Times New Roman"/>
                <w:sz w:val="18"/>
                <w:szCs w:val="18"/>
                <w:vertAlign w:val="superscript"/>
                <w:lang w:val="en-US"/>
              </w:rPr>
              <w:t>-</w:t>
            </w:r>
          </w:p>
        </w:tc>
      </w:tr>
      <w:tr w:rsidR="003F4C72" w:rsidRPr="00AA5EB0" w:rsidTr="00D11295">
        <w:trPr>
          <w:trHeight w:val="60"/>
        </w:trPr>
        <w:tc>
          <w:tcPr>
            <w:tcW w:w="817" w:type="dxa"/>
            <w:vMerge/>
            <w:shd w:val="clear" w:color="auto" w:fill="E5B8B7" w:themeFill="accent2" w:themeFillTint="66"/>
            <w:vAlign w:val="center"/>
          </w:tcPr>
          <w:p w:rsidR="003F4C72" w:rsidRDefault="003F4C72" w:rsidP="00D11295">
            <w:pPr>
              <w:widowControl w:val="0"/>
              <w:autoSpaceDE w:val="0"/>
              <w:autoSpaceDN w:val="0"/>
              <w:adjustRightInd w:val="0"/>
              <w:rPr>
                <w:rFonts w:ascii="Times New Roman" w:hAnsi="Times New Roman" w:cs="Times New Roman"/>
                <w:sz w:val="18"/>
                <w:szCs w:val="18"/>
                <w:lang w:val="en-US"/>
              </w:rPr>
            </w:pPr>
          </w:p>
        </w:tc>
        <w:tc>
          <w:tcPr>
            <w:tcW w:w="2977" w:type="dxa"/>
            <w:vMerge/>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c>
          <w:tcPr>
            <w:tcW w:w="2268" w:type="dxa"/>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charge carrier</w:t>
            </w:r>
            <w:r>
              <w:rPr>
                <w:rFonts w:ascii="Times New Roman" w:hAnsi="Times New Roman" w:cs="Times New Roman"/>
                <w:sz w:val="18"/>
                <w:szCs w:val="18"/>
                <w:lang w:val="en-US"/>
              </w:rPr>
              <w:t>:</w:t>
            </w:r>
            <w:r w:rsidRPr="00AA5EB0">
              <w:rPr>
                <w:rFonts w:ascii="Times New Roman" w:hAnsi="Times New Roman" w:cs="Times New Roman"/>
                <w:sz w:val="18"/>
                <w:szCs w:val="18"/>
                <w:lang w:val="en-US"/>
              </w:rPr>
              <w:t xml:space="preserve"> H</w:t>
            </w:r>
            <w:r w:rsidRPr="006B5A7C">
              <w:rPr>
                <w:rFonts w:ascii="Times New Roman" w:hAnsi="Times New Roman" w:cs="Times New Roman"/>
                <w:sz w:val="18"/>
                <w:szCs w:val="18"/>
                <w:vertAlign w:val="superscript"/>
                <w:lang w:val="en-US"/>
              </w:rPr>
              <w:t>+</w:t>
            </w:r>
          </w:p>
        </w:tc>
        <w:tc>
          <w:tcPr>
            <w:tcW w:w="2410" w:type="dxa"/>
            <w:vMerge/>
            <w:shd w:val="clear" w:color="auto" w:fill="E5B8B7" w:themeFill="accent2" w:themeFillTint="66"/>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r>
      <w:tr w:rsidR="003F4C72" w:rsidRPr="00AA5EB0" w:rsidTr="00D11295">
        <w:tc>
          <w:tcPr>
            <w:tcW w:w="817" w:type="dxa"/>
            <w:vMerge w:val="restart"/>
            <w:shd w:val="clear" w:color="auto" w:fill="D99594" w:themeFill="accent2" w:themeFillTint="99"/>
            <w:vAlign w:val="center"/>
          </w:tcPr>
          <w:p w:rsidR="003F4C72" w:rsidRPr="00AA5EB0" w:rsidRDefault="003F4C72" w:rsidP="00D11295">
            <w:pPr>
              <w:widowControl w:val="0"/>
              <w:autoSpaceDE w:val="0"/>
              <w:autoSpaceDN w:val="0"/>
              <w:adjustRightInd w:val="0"/>
              <w:ind w:right="-147"/>
              <w:rPr>
                <w:rFonts w:ascii="Times New Roman" w:hAnsi="Times New Roman" w:cs="Times New Roman"/>
                <w:sz w:val="18"/>
                <w:szCs w:val="18"/>
                <w:lang w:val="en-US"/>
              </w:rPr>
            </w:pPr>
            <w:r w:rsidRPr="00AA5EB0">
              <w:rPr>
                <w:rFonts w:ascii="Times New Roman" w:hAnsi="Times New Roman" w:cs="Times New Roman"/>
                <w:b/>
                <w:sz w:val="18"/>
                <w:szCs w:val="18"/>
                <w:lang w:val="en-US"/>
              </w:rPr>
              <w:t>AFC</w:t>
            </w:r>
          </w:p>
        </w:tc>
        <w:tc>
          <w:tcPr>
            <w:tcW w:w="2977" w:type="dxa"/>
            <w:vMerge w:val="restart"/>
            <w:shd w:val="clear" w:color="auto" w:fill="D99594" w:themeFill="accent2"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Pr>
                <w:rFonts w:ascii="Times New Roman" w:hAnsi="Times New Roman" w:cs="Times New Roman"/>
                <w:sz w:val="18"/>
                <w:szCs w:val="18"/>
                <w:lang w:val="en-US"/>
              </w:rPr>
              <w:t>2</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+ 4OH</w:t>
            </w:r>
            <w:r w:rsidRPr="00CE0409">
              <w:rPr>
                <w:rFonts w:ascii="Times New Roman" w:hAnsi="Times New Roman" w:cs="Times New Roman"/>
                <w:sz w:val="18"/>
                <w:szCs w:val="18"/>
                <w:vertAlign w:val="superscript"/>
                <w:lang w:val="en-US"/>
              </w:rPr>
              <w:t>-</w:t>
            </w:r>
            <w:r>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H</w:t>
            </w:r>
            <w:r w:rsidRPr="00CE0409">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O</w:t>
            </w:r>
            <w:r w:rsidRPr="00CE0409">
              <w:rPr>
                <w:rFonts w:ascii="Times New Roman" w:hAnsi="Times New Roman" w:cs="Times New Roman"/>
                <w:sz w:val="18"/>
                <w:szCs w:val="18"/>
                <w:lang w:val="en-US"/>
              </w:rPr>
              <w:t xml:space="preserve"> +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p>
        </w:tc>
        <w:tc>
          <w:tcPr>
            <w:tcW w:w="2268" w:type="dxa"/>
            <w:shd w:val="clear" w:color="auto" w:fill="D99594" w:themeFill="accent2" w:themeFillTint="99"/>
            <w:vAlign w:val="center"/>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immobilized KOH</w:t>
            </w:r>
          </w:p>
        </w:tc>
        <w:tc>
          <w:tcPr>
            <w:tcW w:w="2410" w:type="dxa"/>
            <w:vMerge w:val="restart"/>
            <w:shd w:val="clear" w:color="auto" w:fill="D99594" w:themeFill="accent2" w:themeFillTint="99"/>
            <w:vAlign w:val="center"/>
          </w:tcPr>
          <w:p w:rsidR="003F4C72" w:rsidRPr="006E7F50" w:rsidRDefault="003F4C72" w:rsidP="00D11295">
            <w:pPr>
              <w:widowControl w:val="0"/>
              <w:autoSpaceDE w:val="0"/>
              <w:autoSpaceDN w:val="0"/>
              <w:adjustRightInd w:val="0"/>
              <w:ind w:left="-108" w:right="-108"/>
              <w:jc w:val="center"/>
              <w:rPr>
                <w:rFonts w:ascii="Times New Roman" w:hAnsi="Times New Roman" w:cs="Times New Roman"/>
                <w:sz w:val="18"/>
                <w:szCs w:val="18"/>
                <w:vertAlign w:val="subscript"/>
                <w:lang w:val="en-US"/>
              </w:rPr>
            </w:pPr>
            <w:r>
              <w:rPr>
                <w:rFonts w:ascii="Times New Roman" w:hAnsi="Times New Roman" w:cs="Times New Roman"/>
                <w:sz w:val="18"/>
                <w:szCs w:val="18"/>
                <w:lang w:val="en-US"/>
              </w:rPr>
              <w:t>O</w:t>
            </w:r>
            <w:r w:rsidRPr="00CE0409">
              <w:rPr>
                <w:rFonts w:ascii="Times New Roman" w:hAnsi="Times New Roman" w:cs="Times New Roman"/>
                <w:sz w:val="18"/>
                <w:szCs w:val="18"/>
                <w:vertAlign w:val="subscript"/>
                <w:lang w:val="en-US"/>
              </w:rPr>
              <w:t>2</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+ 2H</w:t>
            </w:r>
            <w:r w:rsidRPr="00D773E0">
              <w:rPr>
                <w:rFonts w:ascii="Times New Roman" w:hAnsi="Times New Roman" w:cs="Times New Roman"/>
                <w:sz w:val="18"/>
                <w:szCs w:val="18"/>
                <w:vertAlign w:val="subscript"/>
                <w:lang w:val="en-US"/>
              </w:rPr>
              <w:t>2</w:t>
            </w:r>
            <w:r>
              <w:rPr>
                <w:rFonts w:ascii="Times New Roman" w:hAnsi="Times New Roman" w:cs="Times New Roman"/>
                <w:sz w:val="18"/>
                <w:szCs w:val="18"/>
                <w:lang w:val="en-US"/>
              </w:rPr>
              <w:t xml:space="preserve">O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w:t>
            </w:r>
            <w:r w:rsidRPr="00CE0409">
              <w:rPr>
                <w:rFonts w:ascii="Times New Roman" w:hAnsi="Times New Roman" w:cs="Times New Roman"/>
                <w:sz w:val="18"/>
                <w:szCs w:val="18"/>
                <w:lang w:val="en-US"/>
              </w:rPr>
              <w:t>e</w:t>
            </w:r>
            <w:r w:rsidRPr="00CE0409">
              <w:rPr>
                <w:rFonts w:ascii="Times New Roman" w:hAnsi="Times New Roman" w:cs="Times New Roman"/>
                <w:sz w:val="18"/>
                <w:szCs w:val="18"/>
                <w:vertAlign w:val="superscript"/>
                <w:lang w:val="en-US"/>
              </w:rPr>
              <w:t>-</w:t>
            </w:r>
            <w:r w:rsidRPr="00D773E0">
              <w:rPr>
                <w:rFonts w:ascii="Times New Roman" w:hAnsi="Times New Roman" w:cs="Times New Roman"/>
                <w:sz w:val="18"/>
                <w:szCs w:val="18"/>
                <w:lang w:val="en-US"/>
              </w:rPr>
              <w:t xml:space="preserve"> </w:t>
            </w:r>
            <w:r w:rsidRPr="00CE0409">
              <w:rPr>
                <w:rFonts w:ascii="Times New Roman" w:hAnsi="Times New Roman" w:cs="Times New Roman"/>
                <w:sz w:val="18"/>
                <w:szCs w:val="18"/>
                <w:lang w:val="en-US"/>
              </w:rPr>
              <w:t xml:space="preserve">→ </w:t>
            </w:r>
            <w:r>
              <w:rPr>
                <w:rFonts w:ascii="Times New Roman" w:hAnsi="Times New Roman" w:cs="Times New Roman"/>
                <w:sz w:val="18"/>
                <w:szCs w:val="18"/>
                <w:lang w:val="en-US"/>
              </w:rPr>
              <w:t>4OH</w:t>
            </w:r>
            <w:r w:rsidRPr="00D773E0">
              <w:rPr>
                <w:rFonts w:ascii="Times New Roman" w:hAnsi="Times New Roman" w:cs="Times New Roman"/>
                <w:sz w:val="18"/>
                <w:szCs w:val="18"/>
                <w:vertAlign w:val="superscript"/>
                <w:lang w:val="en-US"/>
              </w:rPr>
              <w:t>-</w:t>
            </w:r>
          </w:p>
        </w:tc>
      </w:tr>
      <w:tr w:rsidR="003F4C72" w:rsidRPr="00AA5EB0" w:rsidTr="00D11295">
        <w:tc>
          <w:tcPr>
            <w:tcW w:w="817" w:type="dxa"/>
            <w:vMerge/>
            <w:shd w:val="clear" w:color="auto" w:fill="D99594" w:themeFill="accent2" w:themeFillTint="99"/>
          </w:tcPr>
          <w:p w:rsidR="003F4C72" w:rsidRDefault="003F4C72" w:rsidP="00D11295">
            <w:pPr>
              <w:widowControl w:val="0"/>
              <w:autoSpaceDE w:val="0"/>
              <w:autoSpaceDN w:val="0"/>
              <w:adjustRightInd w:val="0"/>
              <w:rPr>
                <w:rFonts w:ascii="Times New Roman" w:hAnsi="Times New Roman" w:cs="Times New Roman"/>
                <w:sz w:val="18"/>
                <w:szCs w:val="18"/>
                <w:lang w:val="en-US"/>
              </w:rPr>
            </w:pPr>
          </w:p>
        </w:tc>
        <w:tc>
          <w:tcPr>
            <w:tcW w:w="2977" w:type="dxa"/>
            <w:vMerge/>
            <w:shd w:val="clear" w:color="auto" w:fill="D99594" w:themeFill="accent2" w:themeFillTint="99"/>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c>
          <w:tcPr>
            <w:tcW w:w="2268" w:type="dxa"/>
            <w:shd w:val="clear" w:color="auto" w:fill="D99594" w:themeFill="accent2" w:themeFillTint="99"/>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r w:rsidRPr="00AA5EB0">
              <w:rPr>
                <w:rFonts w:ascii="Times New Roman" w:hAnsi="Times New Roman" w:cs="Times New Roman"/>
                <w:sz w:val="18"/>
                <w:szCs w:val="18"/>
                <w:lang w:val="en-US"/>
              </w:rPr>
              <w:t>charge carrier</w:t>
            </w:r>
            <w:r>
              <w:rPr>
                <w:rFonts w:ascii="Times New Roman" w:hAnsi="Times New Roman" w:cs="Times New Roman"/>
                <w:sz w:val="18"/>
                <w:szCs w:val="18"/>
                <w:lang w:val="en-US"/>
              </w:rPr>
              <w:t>:</w:t>
            </w:r>
            <w:r w:rsidRPr="00AA5EB0">
              <w:rPr>
                <w:rFonts w:ascii="Times New Roman" w:hAnsi="Times New Roman" w:cs="Times New Roman"/>
                <w:sz w:val="18"/>
                <w:szCs w:val="18"/>
                <w:lang w:val="en-US"/>
              </w:rPr>
              <w:t xml:space="preserve"> OH</w:t>
            </w:r>
            <w:r w:rsidRPr="006B5A7C">
              <w:rPr>
                <w:rFonts w:ascii="Times New Roman" w:hAnsi="Times New Roman" w:cs="Times New Roman"/>
                <w:sz w:val="18"/>
                <w:szCs w:val="18"/>
                <w:vertAlign w:val="superscript"/>
                <w:lang w:val="en-US"/>
              </w:rPr>
              <w:t>-</w:t>
            </w:r>
          </w:p>
        </w:tc>
        <w:tc>
          <w:tcPr>
            <w:tcW w:w="2410" w:type="dxa"/>
            <w:vMerge/>
            <w:shd w:val="clear" w:color="auto" w:fill="D99594" w:themeFill="accent2" w:themeFillTint="99"/>
          </w:tcPr>
          <w:p w:rsidR="003F4C72" w:rsidRPr="00AA5EB0" w:rsidRDefault="003F4C72" w:rsidP="00D11295">
            <w:pPr>
              <w:widowControl w:val="0"/>
              <w:autoSpaceDE w:val="0"/>
              <w:autoSpaceDN w:val="0"/>
              <w:adjustRightInd w:val="0"/>
              <w:ind w:left="-108" w:right="-108"/>
              <w:jc w:val="center"/>
              <w:rPr>
                <w:rFonts w:ascii="Times New Roman" w:hAnsi="Times New Roman" w:cs="Times New Roman"/>
                <w:sz w:val="18"/>
                <w:szCs w:val="18"/>
                <w:lang w:val="en-US"/>
              </w:rPr>
            </w:pPr>
          </w:p>
        </w:tc>
      </w:tr>
    </w:tbl>
    <w:p w:rsidR="00E47FD1" w:rsidRDefault="00E47FD1" w:rsidP="00E47FD1">
      <w:pPr>
        <w:widowControl w:val="0"/>
        <w:autoSpaceDE w:val="0"/>
        <w:autoSpaceDN w:val="0"/>
        <w:adjustRightInd w:val="0"/>
        <w:spacing w:after="0" w:line="240" w:lineRule="auto"/>
        <w:jc w:val="both"/>
        <w:rPr>
          <w:rFonts w:ascii="Times New Roman" w:hAnsi="Times New Roman" w:cs="Times New Roman"/>
          <w:sz w:val="20"/>
          <w:szCs w:val="20"/>
          <w:lang w:val="en-US"/>
        </w:rPr>
      </w:pPr>
    </w:p>
    <w:p w:rsidR="00E47FD1" w:rsidRDefault="005E5273" w:rsidP="008B7354">
      <w:pPr>
        <w:widowControl w:val="0"/>
        <w:autoSpaceDE w:val="0"/>
        <w:autoSpaceDN w:val="0"/>
        <w:adjustRightInd w:val="0"/>
        <w:spacing w:after="0" w:line="240" w:lineRule="auto"/>
        <w:ind w:firstLine="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Besides their catalytic role, electrodes collect (anode) or supply (cathode) the electrons involved i</w:t>
      </w:r>
      <w:r w:rsidR="00C43173" w:rsidRPr="008F23CC">
        <w:rPr>
          <w:rFonts w:ascii="Times New Roman" w:hAnsi="Times New Roman" w:cs="Times New Roman"/>
          <w:sz w:val="20"/>
          <w:szCs w:val="20"/>
          <w:lang w:val="en-US"/>
        </w:rPr>
        <w:t>n the electrochemical reactions</w:t>
      </w:r>
      <w:r w:rsidRPr="008F23CC">
        <w:rPr>
          <w:rFonts w:ascii="Times New Roman" w:hAnsi="Times New Roman" w:cs="Times New Roman"/>
          <w:sz w:val="20"/>
          <w:szCs w:val="20"/>
          <w:lang w:val="en-US"/>
        </w:rPr>
        <w:t>, and should be made of materials with good electrical conductivity. Continuous electrons supply (or removal) is necessary for the electrochemical reactions to proceed, resulting a constant electron flow from the anode to the cathode. At the same time, the electrolyte, by transporting reactants in the form of</w:t>
      </w:r>
      <w:r w:rsidR="00871EE8" w:rsidRPr="008F23CC">
        <w:rPr>
          <w:rFonts w:ascii="Times New Roman" w:hAnsi="Times New Roman" w:cs="Times New Roman"/>
          <w:sz w:val="20"/>
          <w:szCs w:val="20"/>
          <w:lang w:val="en-US"/>
        </w:rPr>
        <w:t xml:space="preserve"> ionic species, completes the cell circuit. The electro-combustion of hydrogen sustains a difference in the chemical potentials of the electro-active species (conducting ions) between the two electrodes, which is the driving force for the ionic flux through the electrolyte, expressed as the open circuit potential of the cell or its electromotive force (emf). </w:t>
      </w:r>
    </w:p>
    <w:p w:rsidR="003F4C72" w:rsidRDefault="003F4C72" w:rsidP="008B7354">
      <w:pPr>
        <w:widowControl w:val="0"/>
        <w:autoSpaceDE w:val="0"/>
        <w:autoSpaceDN w:val="0"/>
        <w:adjustRightInd w:val="0"/>
        <w:spacing w:after="0" w:line="240" w:lineRule="auto"/>
        <w:ind w:firstLine="284"/>
        <w:jc w:val="both"/>
        <w:rPr>
          <w:rFonts w:ascii="Times New Roman" w:hAnsi="Times New Roman" w:cs="Times New Roman"/>
          <w:sz w:val="20"/>
          <w:szCs w:val="20"/>
          <w:lang w:val="en-US"/>
        </w:rPr>
      </w:pPr>
    </w:p>
    <w:p w:rsidR="003F4C72" w:rsidRDefault="00871EE8" w:rsidP="003F4C72">
      <w:pPr>
        <w:widowControl w:val="0"/>
        <w:autoSpaceDE w:val="0"/>
        <w:autoSpaceDN w:val="0"/>
        <w:adjustRightInd w:val="0"/>
        <w:spacing w:after="0" w:line="240" w:lineRule="auto"/>
        <w:jc w:val="center"/>
        <w:rPr>
          <w:rFonts w:ascii="Times New Roman" w:hAnsi="Times New Roman" w:cs="Times New Roman"/>
          <w:b/>
          <w:sz w:val="20"/>
          <w:szCs w:val="20"/>
          <w:lang w:val="en-US"/>
        </w:rPr>
      </w:pPr>
      <w:r w:rsidRPr="008F23CC">
        <w:rPr>
          <w:rFonts w:ascii="Times New Roman" w:hAnsi="Times New Roman" w:cs="Times New Roman"/>
          <w:sz w:val="20"/>
          <w:szCs w:val="20"/>
          <w:lang w:val="en-US"/>
        </w:rPr>
        <w:t xml:space="preserve"> </w:t>
      </w:r>
      <w:r w:rsidR="003F4C72" w:rsidRPr="008F23CC">
        <w:rPr>
          <w:rFonts w:ascii="Times New Roman" w:hAnsi="Times New Roman" w:cs="Times New Roman"/>
          <w:noProof/>
          <w:sz w:val="20"/>
          <w:szCs w:val="20"/>
          <w:lang w:eastAsia="el-GR"/>
        </w:rPr>
        <w:drawing>
          <wp:inline distT="0" distB="0" distL="0" distR="0">
            <wp:extent cx="3859619" cy="1967024"/>
            <wp:effectExtent l="0" t="0" r="7531" b="0"/>
            <wp:docPr id="16" name="Εικόνα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9"/>
                    <a:srcRect/>
                    <a:stretch>
                      <a:fillRect/>
                    </a:stretch>
                  </pic:blipFill>
                  <pic:spPr bwMode="auto">
                    <a:xfrm>
                      <a:off x="0" y="0"/>
                      <a:ext cx="3875617" cy="1975177"/>
                    </a:xfrm>
                    <a:prstGeom prst="rect">
                      <a:avLst/>
                    </a:prstGeom>
                    <a:noFill/>
                    <a:ln w="9525">
                      <a:noFill/>
                      <a:miter lim="800000"/>
                      <a:headEnd/>
                      <a:tailEnd/>
                    </a:ln>
                  </pic:spPr>
                </pic:pic>
              </a:graphicData>
            </a:graphic>
          </wp:inline>
        </w:drawing>
      </w:r>
      <w:r w:rsidR="003F4C72" w:rsidRPr="00E47FD1">
        <w:rPr>
          <w:rFonts w:ascii="Times New Roman" w:hAnsi="Times New Roman" w:cs="Times New Roman"/>
          <w:b/>
          <w:sz w:val="20"/>
          <w:szCs w:val="20"/>
          <w:lang w:val="en-US"/>
        </w:rPr>
        <w:t xml:space="preserve"> </w:t>
      </w:r>
    </w:p>
    <w:p w:rsidR="003F4C72" w:rsidRPr="00E47FD1" w:rsidRDefault="003F4C72" w:rsidP="003F4C72">
      <w:pPr>
        <w:widowControl w:val="0"/>
        <w:autoSpaceDE w:val="0"/>
        <w:autoSpaceDN w:val="0"/>
        <w:adjustRightInd w:val="0"/>
        <w:spacing w:after="0" w:line="240" w:lineRule="auto"/>
        <w:jc w:val="center"/>
        <w:rPr>
          <w:rFonts w:ascii="Times New Roman" w:hAnsi="Times New Roman" w:cs="Times New Roman"/>
          <w:b/>
          <w:sz w:val="10"/>
          <w:szCs w:val="10"/>
          <w:lang w:val="en-US"/>
        </w:rPr>
      </w:pPr>
    </w:p>
    <w:p w:rsidR="003F4C72" w:rsidRPr="008F23CC" w:rsidRDefault="003F4C72" w:rsidP="003F4C72">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2</w:t>
      </w:r>
      <w:r w:rsidRPr="008F23CC">
        <w:rPr>
          <w:rFonts w:ascii="Times New Roman" w:hAnsi="Times New Roman" w:cs="Times New Roman"/>
          <w:sz w:val="20"/>
          <w:szCs w:val="20"/>
          <w:lang w:val="en-US"/>
        </w:rPr>
        <w:t xml:space="preserve"> Visualization of the physical structure of a planar fuel cell stack</w:t>
      </w:r>
    </w:p>
    <w:p w:rsidR="00574F67" w:rsidRPr="008F23CC" w:rsidRDefault="00574F67"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E47FD1" w:rsidRPr="008F23CC" w:rsidRDefault="00E47FD1" w:rsidP="008B7354">
      <w:pPr>
        <w:widowControl w:val="0"/>
        <w:autoSpaceDE w:val="0"/>
        <w:autoSpaceDN w:val="0"/>
        <w:adjustRightInd w:val="0"/>
        <w:spacing w:after="0" w:line="240" w:lineRule="auto"/>
        <w:ind w:firstLine="284"/>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Completing the physical structure of a fuel cell, a current collector, in closed contact to the porous electrodes, facilitates the electrons transport. In actual fuel cell devices, conductive interconnects are used to combine unit cells, in order to upgrade voltage, as illustrated in Figure 2 for the classical planar cell stuck assembly (gaseous fuels and oxidants flow through the current collector formatted channels, in a cross-flow pattern). These interconnects also serve as separator plates between the fuel and the oxidant gaseous streams of successive unit cells, so they must be impermeable to gases. </w:t>
      </w:r>
      <w:r>
        <w:rPr>
          <w:rFonts w:ascii="Times New Roman" w:hAnsi="Times New Roman" w:cs="Times New Roman"/>
          <w:sz w:val="20"/>
          <w:szCs w:val="20"/>
          <w:lang w:val="en-US"/>
        </w:rPr>
        <w:t>Furthermore, they form</w:t>
      </w:r>
      <w:r w:rsidRPr="008F23CC">
        <w:rPr>
          <w:rFonts w:ascii="Times New Roman" w:hAnsi="Times New Roman" w:cs="Times New Roman"/>
          <w:sz w:val="20"/>
          <w:szCs w:val="20"/>
          <w:lang w:val="en-US"/>
        </w:rPr>
        <w:t xml:space="preserve"> the structure</w:t>
      </w:r>
      <w:r>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for distributing the reactant gases across the electrode surface. </w:t>
      </w:r>
    </w:p>
    <w:p w:rsidR="00E47FD1" w:rsidRDefault="00E47FD1" w:rsidP="003066A0">
      <w:pPr>
        <w:widowControl w:val="0"/>
        <w:autoSpaceDE w:val="0"/>
        <w:autoSpaceDN w:val="0"/>
        <w:adjustRightInd w:val="0"/>
        <w:spacing w:after="0" w:line="240" w:lineRule="auto"/>
        <w:jc w:val="both"/>
        <w:rPr>
          <w:rFonts w:ascii="Times New Roman" w:hAnsi="Times New Roman" w:cs="Times New Roman"/>
          <w:bCs/>
          <w:sz w:val="20"/>
          <w:szCs w:val="20"/>
          <w:lang w:val="en-US"/>
        </w:rPr>
      </w:pPr>
    </w:p>
    <w:p w:rsidR="00A75EEB" w:rsidRDefault="00A75EEB" w:rsidP="003066A0">
      <w:pPr>
        <w:widowControl w:val="0"/>
        <w:autoSpaceDE w:val="0"/>
        <w:autoSpaceDN w:val="0"/>
        <w:adjustRightInd w:val="0"/>
        <w:spacing w:after="0" w:line="240" w:lineRule="auto"/>
        <w:jc w:val="both"/>
        <w:rPr>
          <w:rFonts w:ascii="Times New Roman" w:hAnsi="Times New Roman" w:cs="Times New Roman"/>
          <w:bCs/>
          <w:sz w:val="20"/>
          <w:szCs w:val="20"/>
          <w:lang w:val="en-US"/>
        </w:rPr>
      </w:pPr>
    </w:p>
    <w:p w:rsidR="00DF3535" w:rsidRPr="00936ADD" w:rsidRDefault="00764023" w:rsidP="003066A0">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936ADD">
        <w:rPr>
          <w:rFonts w:ascii="Times New Roman" w:hAnsi="Times New Roman" w:cs="Times New Roman"/>
          <w:b/>
          <w:sz w:val="24"/>
          <w:szCs w:val="24"/>
          <w:lang w:val="en-US"/>
        </w:rPr>
        <w:t xml:space="preserve">2. </w:t>
      </w:r>
      <w:r w:rsidR="00DF3535" w:rsidRPr="00936ADD">
        <w:rPr>
          <w:rFonts w:ascii="Times New Roman" w:hAnsi="Times New Roman" w:cs="Times New Roman"/>
          <w:b/>
          <w:sz w:val="24"/>
          <w:szCs w:val="24"/>
          <w:lang w:val="en-US"/>
        </w:rPr>
        <w:t>Operation and Performance</w:t>
      </w:r>
    </w:p>
    <w:p w:rsidR="00DF3535" w:rsidRPr="00936ADD" w:rsidRDefault="00DF3535" w:rsidP="003066A0">
      <w:pPr>
        <w:widowControl w:val="0"/>
        <w:autoSpaceDE w:val="0"/>
        <w:autoSpaceDN w:val="0"/>
        <w:adjustRightInd w:val="0"/>
        <w:spacing w:after="0" w:line="240" w:lineRule="auto"/>
        <w:jc w:val="both"/>
        <w:rPr>
          <w:rFonts w:ascii="Times New Roman" w:hAnsi="Times New Roman" w:cs="Times New Roman"/>
          <w:sz w:val="16"/>
          <w:szCs w:val="16"/>
          <w:lang w:val="en-US"/>
        </w:rPr>
      </w:pPr>
    </w:p>
    <w:p w:rsidR="00F84350"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maximum electrical work (W</w:t>
      </w:r>
      <w:r w:rsidRPr="008F23CC">
        <w:rPr>
          <w:rFonts w:ascii="Times New Roman" w:hAnsi="Times New Roman" w:cs="Times New Roman"/>
          <w:sz w:val="20"/>
          <w:szCs w:val="20"/>
          <w:vertAlign w:val="subscript"/>
          <w:lang w:val="en-US"/>
        </w:rPr>
        <w:t>el</w:t>
      </w:r>
      <w:r w:rsidRPr="008F23CC">
        <w:rPr>
          <w:rFonts w:ascii="Times New Roman" w:hAnsi="Times New Roman" w:cs="Times New Roman"/>
          <w:sz w:val="20"/>
          <w:szCs w:val="20"/>
          <w:lang w:val="en-US"/>
        </w:rPr>
        <w:t>) of a fuel cell is given by the change in the free energy</w:t>
      </w:r>
      <w:r w:rsidR="00F84350">
        <w:rPr>
          <w:rFonts w:ascii="Times New Roman" w:hAnsi="Times New Roman" w:cs="Times New Roman"/>
          <w:sz w:val="20"/>
          <w:szCs w:val="20"/>
          <w:lang w:val="en-US"/>
        </w:rPr>
        <w:t>:</w:t>
      </w:r>
    </w:p>
    <w:p w:rsidR="00F84350" w:rsidRDefault="00F84350"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84350" w:rsidRPr="008F23CC" w:rsidRDefault="00F84350" w:rsidP="00F84350">
      <w:pPr>
        <w:widowControl w:val="0"/>
        <w:autoSpaceDE w:val="0"/>
        <w:autoSpaceDN w:val="0"/>
        <w:adjustRightInd w:val="0"/>
        <w:spacing w:after="0" w:line="240" w:lineRule="auto"/>
        <w:jc w:val="right"/>
        <w:rPr>
          <w:rFonts w:ascii="Times New Roman" w:hAnsi="Times New Roman" w:cs="Times New Roman"/>
          <w:iCs/>
          <w:sz w:val="20"/>
          <w:szCs w:val="20"/>
          <w:lang w:val="en-US"/>
        </w:rPr>
      </w:pPr>
      <w:r w:rsidRPr="008F23CC">
        <w:rPr>
          <w:rFonts w:ascii="Times New Roman" w:hAnsi="Times New Roman" w:cs="Times New Roman"/>
          <w:sz w:val="20"/>
          <w:szCs w:val="20"/>
          <w:lang w:val="en-US"/>
        </w:rPr>
        <w:t>W</w:t>
      </w:r>
      <w:r w:rsidRPr="008F23CC">
        <w:rPr>
          <w:rFonts w:ascii="Times New Roman" w:hAnsi="Times New Roman" w:cs="Times New Roman"/>
          <w:sz w:val="20"/>
          <w:szCs w:val="20"/>
          <w:vertAlign w:val="subscript"/>
          <w:lang w:val="en-US"/>
        </w:rPr>
        <w:t>el</w:t>
      </w:r>
      <w:r w:rsidRPr="008F23CC">
        <w:rPr>
          <w:rFonts w:ascii="Times New Roman" w:hAnsi="Times New Roman" w:cs="Times New Roman"/>
          <w:sz w:val="20"/>
          <w:szCs w:val="20"/>
          <w:lang w:val="en-US"/>
        </w:rPr>
        <w:t xml:space="preserve"> = </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G = − n</w:t>
      </w:r>
      <w:r w:rsidRPr="008F23CC">
        <w:rPr>
          <w:rFonts w:ascii="Times New Roman" w:hAnsi="Times New Roman" w:cs="Times New Roman"/>
          <w:iCs/>
          <w:sz w:val="20"/>
          <w:szCs w:val="20"/>
          <w:lang w:val="en-US"/>
        </w:rPr>
        <w:t>F</w:t>
      </w:r>
      <w:r w:rsidRPr="008F23CC">
        <w:rPr>
          <w:rFonts w:ascii="Times New Roman" w:hAnsi="Times New Roman" w:cs="Times New Roman"/>
          <w:sz w:val="20"/>
          <w:szCs w:val="20"/>
          <w:lang w:val="en-US"/>
        </w:rPr>
        <w:t>E</w:t>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t>1.</w:t>
      </w:r>
    </w:p>
    <w:p w:rsidR="00F84350" w:rsidRDefault="00F84350"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893035"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of the </w:t>
      </w:r>
      <w:r w:rsidR="00F84350">
        <w:rPr>
          <w:rFonts w:ascii="Times New Roman" w:hAnsi="Times New Roman" w:cs="Times New Roman"/>
          <w:sz w:val="20"/>
          <w:szCs w:val="20"/>
          <w:lang w:val="en-US"/>
        </w:rPr>
        <w:t xml:space="preserve">overall (combined anodic and cathodic) </w:t>
      </w:r>
      <w:r w:rsidRPr="008F23CC">
        <w:rPr>
          <w:rFonts w:ascii="Times New Roman" w:hAnsi="Times New Roman" w:cs="Times New Roman"/>
          <w:sz w:val="20"/>
          <w:szCs w:val="20"/>
          <w:lang w:val="en-US"/>
        </w:rPr>
        <w:t>electrochemical reaction:</w:t>
      </w:r>
    </w:p>
    <w:p w:rsidR="00F84350" w:rsidRPr="008F23CC" w:rsidRDefault="00F84350"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84350" w:rsidRPr="008F23CC" w:rsidRDefault="00F84350" w:rsidP="00F84350">
      <w:pPr>
        <w:widowControl w:val="0"/>
        <w:autoSpaceDE w:val="0"/>
        <w:autoSpaceDN w:val="0"/>
        <w:adjustRightInd w:val="0"/>
        <w:spacing w:after="0" w:line="240" w:lineRule="auto"/>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lastRenderedPageBreak/>
        <w:t xml:space="preserve">aA + bB → cC + dD       </w:t>
      </w:r>
      <w:r w:rsidRPr="008F23CC">
        <w:rPr>
          <w:rFonts w:ascii="Times New Roman" w:hAnsi="Times New Roman" w:cs="Times New Roman"/>
          <w:sz w:val="20"/>
          <w:szCs w:val="20"/>
          <w:lang w:val="en-US"/>
        </w:rPr>
        <w:tab/>
      </w:r>
      <w:r>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Pr>
          <w:rFonts w:ascii="Times New Roman" w:hAnsi="Times New Roman" w:cs="Times New Roman"/>
          <w:sz w:val="20"/>
          <w:szCs w:val="20"/>
          <w:lang w:val="en-US"/>
        </w:rPr>
        <w:t>2</w:t>
      </w:r>
      <w:r w:rsidRPr="008F23CC">
        <w:rPr>
          <w:rFonts w:ascii="Times New Roman" w:hAnsi="Times New Roman" w:cs="Times New Roman"/>
          <w:sz w:val="20"/>
          <w:szCs w:val="20"/>
          <w:lang w:val="en-US"/>
        </w:rPr>
        <w:t xml:space="preserve">. </w:t>
      </w:r>
    </w:p>
    <w:p w:rsidR="00893035" w:rsidRPr="008F23CC"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893035" w:rsidRPr="00F84350"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where </w:t>
      </w:r>
      <w:r w:rsidRPr="008F23CC">
        <w:rPr>
          <w:rFonts w:ascii="Times New Roman" w:hAnsi="Times New Roman" w:cs="Times New Roman"/>
          <w:i/>
          <w:sz w:val="20"/>
          <w:szCs w:val="20"/>
          <w:lang w:val="en-US"/>
        </w:rPr>
        <w:t>n</w:t>
      </w:r>
      <w:r w:rsidRPr="008F23CC">
        <w:rPr>
          <w:rFonts w:ascii="Times New Roman" w:hAnsi="Times New Roman" w:cs="Times New Roman"/>
          <w:sz w:val="20"/>
          <w:szCs w:val="20"/>
          <w:lang w:val="en-US"/>
        </w:rPr>
        <w:t xml:space="preserve"> is the number of electrons </w:t>
      </w:r>
      <w:r w:rsidRPr="00F84350">
        <w:rPr>
          <w:rFonts w:ascii="Times New Roman" w:hAnsi="Times New Roman" w:cs="Times New Roman"/>
          <w:sz w:val="20"/>
          <w:szCs w:val="20"/>
          <w:lang w:val="en-US"/>
        </w:rPr>
        <w:t xml:space="preserve">participating the reaction, </w:t>
      </w:r>
      <w:r w:rsidRPr="00F84350">
        <w:rPr>
          <w:rFonts w:ascii="Times New Roman" w:hAnsi="Times New Roman" w:cs="Times New Roman"/>
          <w:bCs/>
          <w:sz w:val="20"/>
          <w:szCs w:val="20"/>
          <w:lang w:val="en-US"/>
        </w:rPr>
        <w:t>F</w:t>
      </w:r>
      <w:r w:rsidRPr="00F84350">
        <w:rPr>
          <w:rFonts w:ascii="Times New Roman" w:hAnsi="Times New Roman" w:cs="Times New Roman"/>
          <w:b/>
          <w:bCs/>
          <w:sz w:val="20"/>
          <w:szCs w:val="20"/>
          <w:lang w:val="en-US"/>
        </w:rPr>
        <w:t xml:space="preserve"> </w:t>
      </w:r>
      <w:r w:rsidRPr="00F84350">
        <w:rPr>
          <w:rFonts w:ascii="Times New Roman" w:hAnsi="Times New Roman" w:cs="Times New Roman"/>
          <w:sz w:val="20"/>
          <w:szCs w:val="20"/>
          <w:lang w:val="en-US"/>
        </w:rPr>
        <w:t xml:space="preserve">is Faraday's constant (96,487 cb/mole), and </w:t>
      </w:r>
      <w:r w:rsidRPr="00F84350">
        <w:rPr>
          <w:rFonts w:ascii="Times New Roman" w:hAnsi="Times New Roman" w:cs="Times New Roman"/>
          <w:bCs/>
          <w:sz w:val="20"/>
          <w:szCs w:val="20"/>
          <w:lang w:val="en-US"/>
        </w:rPr>
        <w:t>E</w:t>
      </w:r>
      <w:r w:rsidRPr="00F84350">
        <w:rPr>
          <w:rFonts w:ascii="Times New Roman" w:hAnsi="Times New Roman" w:cs="Times New Roman"/>
          <w:b/>
          <w:bCs/>
          <w:sz w:val="20"/>
          <w:szCs w:val="20"/>
          <w:lang w:val="en-US"/>
        </w:rPr>
        <w:t xml:space="preserve"> </w:t>
      </w:r>
      <w:r w:rsidRPr="00F84350">
        <w:rPr>
          <w:rFonts w:ascii="Times New Roman" w:hAnsi="Times New Roman" w:cs="Times New Roman"/>
          <w:sz w:val="20"/>
          <w:szCs w:val="20"/>
          <w:lang w:val="en-US"/>
        </w:rPr>
        <w:t xml:space="preserve">is the reversible potential of the cell (the open circuit voltage – emf). The difference between </w:t>
      </w:r>
      <w:r w:rsidRPr="00F84350">
        <w:rPr>
          <w:rFonts w:ascii="Times New Roman" w:hAnsi="Times New Roman" w:cs="Times New Roman"/>
          <w:sz w:val="20"/>
          <w:szCs w:val="20"/>
        </w:rPr>
        <w:t>Δ</w:t>
      </w:r>
      <w:r w:rsidRPr="00F84350">
        <w:rPr>
          <w:rFonts w:ascii="Times New Roman" w:hAnsi="Times New Roman" w:cs="Times New Roman"/>
          <w:sz w:val="20"/>
          <w:szCs w:val="20"/>
          <w:lang w:val="en-US"/>
        </w:rPr>
        <w:t xml:space="preserve">G and </w:t>
      </w:r>
      <w:r w:rsidRPr="00F84350">
        <w:rPr>
          <w:rFonts w:ascii="Times New Roman" w:hAnsi="Times New Roman" w:cs="Times New Roman"/>
          <w:sz w:val="20"/>
          <w:szCs w:val="20"/>
        </w:rPr>
        <w:t>Δ</w:t>
      </w:r>
      <w:r w:rsidRPr="00F84350">
        <w:rPr>
          <w:rFonts w:ascii="Times New Roman" w:hAnsi="Times New Roman" w:cs="Times New Roman"/>
          <w:sz w:val="20"/>
          <w:szCs w:val="20"/>
          <w:lang w:val="en-US"/>
        </w:rPr>
        <w:t>H is proportional to the change in entropy (</w:t>
      </w:r>
      <w:r w:rsidRPr="00F84350">
        <w:rPr>
          <w:rFonts w:ascii="Times New Roman" w:hAnsi="Times New Roman" w:cs="Times New Roman"/>
          <w:sz w:val="20"/>
          <w:szCs w:val="20"/>
        </w:rPr>
        <w:t>Δ</w:t>
      </w:r>
      <w:r w:rsidRPr="00F84350">
        <w:rPr>
          <w:rFonts w:ascii="Times New Roman" w:hAnsi="Times New Roman" w:cs="Times New Roman"/>
          <w:sz w:val="20"/>
          <w:szCs w:val="20"/>
          <w:lang w:val="en-US"/>
        </w:rPr>
        <w:t>S):</w:t>
      </w:r>
    </w:p>
    <w:p w:rsidR="00893035" w:rsidRPr="008F23CC"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893035" w:rsidRPr="008F23CC" w:rsidRDefault="0089303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w:r w:rsidRPr="008F23CC">
        <w:rPr>
          <w:rFonts w:ascii="Times New Roman" w:hAnsi="Times New Roman" w:cs="Times New Roman"/>
          <w:sz w:val="20"/>
          <w:szCs w:val="20"/>
        </w:rPr>
        <w:t>Δ</w:t>
      </w:r>
      <w:r w:rsidRPr="008F23CC">
        <w:rPr>
          <w:rFonts w:ascii="Times New Roman" w:hAnsi="Times New Roman" w:cs="Times New Roman"/>
          <w:sz w:val="20"/>
          <w:szCs w:val="20"/>
          <w:lang w:val="en-US"/>
        </w:rPr>
        <w:t xml:space="preserve">G = </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H – T</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S</w:t>
      </w:r>
      <w:r w:rsidR="005A685C" w:rsidRPr="008F23CC">
        <w:rPr>
          <w:rFonts w:ascii="Times New Roman" w:hAnsi="Times New Roman" w:cs="Times New Roman"/>
          <w:sz w:val="20"/>
          <w:szCs w:val="20"/>
          <w:lang w:val="en-US"/>
        </w:rPr>
        <w:tab/>
      </w:r>
      <w:r w:rsidR="005A685C" w:rsidRPr="008F23CC">
        <w:rPr>
          <w:rFonts w:ascii="Times New Roman" w:hAnsi="Times New Roman" w:cs="Times New Roman"/>
          <w:sz w:val="20"/>
          <w:szCs w:val="20"/>
          <w:lang w:val="en-US"/>
        </w:rPr>
        <w:tab/>
      </w:r>
      <w:r w:rsidR="005A685C" w:rsidRPr="008F23CC">
        <w:rPr>
          <w:rFonts w:ascii="Times New Roman" w:hAnsi="Times New Roman" w:cs="Times New Roman"/>
          <w:sz w:val="20"/>
          <w:szCs w:val="20"/>
          <w:lang w:val="en-US"/>
        </w:rPr>
        <w:tab/>
      </w:r>
      <w:r w:rsidR="005A685C" w:rsidRPr="008F23CC">
        <w:rPr>
          <w:rFonts w:ascii="Times New Roman" w:hAnsi="Times New Roman" w:cs="Times New Roman"/>
          <w:sz w:val="20"/>
          <w:szCs w:val="20"/>
          <w:lang w:val="en-US"/>
        </w:rPr>
        <w:tab/>
      </w:r>
      <w:r w:rsidR="00F84350">
        <w:rPr>
          <w:rFonts w:ascii="Times New Roman" w:hAnsi="Times New Roman" w:cs="Times New Roman"/>
          <w:sz w:val="20"/>
          <w:szCs w:val="20"/>
          <w:lang w:val="en-US"/>
        </w:rPr>
        <w:tab/>
      </w:r>
      <w:r w:rsidR="005A685C" w:rsidRPr="008F23CC">
        <w:rPr>
          <w:rFonts w:ascii="Times New Roman" w:hAnsi="Times New Roman" w:cs="Times New Roman"/>
          <w:sz w:val="20"/>
          <w:szCs w:val="20"/>
          <w:lang w:val="en-US"/>
        </w:rPr>
        <w:tab/>
      </w:r>
      <w:r w:rsidR="00F84350">
        <w:rPr>
          <w:rFonts w:ascii="Times New Roman" w:hAnsi="Times New Roman" w:cs="Times New Roman"/>
          <w:sz w:val="20"/>
          <w:szCs w:val="20"/>
          <w:lang w:val="en-US"/>
        </w:rPr>
        <w:t>3</w:t>
      </w:r>
      <w:r w:rsidR="005A685C" w:rsidRPr="008F23CC">
        <w:rPr>
          <w:rFonts w:ascii="Times New Roman" w:hAnsi="Times New Roman" w:cs="Times New Roman"/>
          <w:sz w:val="20"/>
          <w:szCs w:val="20"/>
          <w:lang w:val="en-US"/>
        </w:rPr>
        <w:t>.</w:t>
      </w:r>
    </w:p>
    <w:p w:rsidR="00893035" w:rsidRPr="008F23CC"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893035" w:rsidRDefault="00893035" w:rsidP="00F8435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where </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 xml:space="preserve">H is the total thermal </w:t>
      </w:r>
      <w:r w:rsidR="00FB33AE" w:rsidRPr="008F23CC">
        <w:rPr>
          <w:rFonts w:ascii="Times New Roman" w:hAnsi="Times New Roman" w:cs="Times New Roman"/>
          <w:sz w:val="20"/>
          <w:szCs w:val="20"/>
          <w:lang w:val="en-US"/>
        </w:rPr>
        <w:t xml:space="preserve">content </w:t>
      </w:r>
      <w:r w:rsidR="00430C97" w:rsidRPr="008F23CC">
        <w:rPr>
          <w:rFonts w:ascii="Times New Roman" w:hAnsi="Times New Roman" w:cs="Times New Roman"/>
          <w:sz w:val="20"/>
          <w:szCs w:val="20"/>
          <w:lang w:val="en-US"/>
        </w:rPr>
        <w:t>of the feed</w:t>
      </w:r>
      <w:r w:rsidRPr="008F23CC">
        <w:rPr>
          <w:rFonts w:ascii="Times New Roman" w:hAnsi="Times New Roman" w:cs="Times New Roman"/>
          <w:sz w:val="20"/>
          <w:szCs w:val="20"/>
          <w:lang w:val="en-US"/>
        </w:rPr>
        <w:t xml:space="preserve"> and T</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S is the amount of heat produced by a fuel cell operating reversibly.</w:t>
      </w:r>
      <w:r w:rsidR="00F84350">
        <w:rPr>
          <w:rFonts w:ascii="Times New Roman" w:hAnsi="Times New Roman" w:cs="Times New Roman"/>
          <w:sz w:val="20"/>
          <w:szCs w:val="20"/>
          <w:lang w:val="en-US"/>
        </w:rPr>
        <w:t xml:space="preserve"> T</w:t>
      </w:r>
      <w:r w:rsidRPr="008F23CC">
        <w:rPr>
          <w:rFonts w:ascii="Times New Roman" w:hAnsi="Times New Roman" w:cs="Times New Roman"/>
          <w:sz w:val="20"/>
          <w:szCs w:val="20"/>
          <w:lang w:val="en-US"/>
        </w:rPr>
        <w:t xml:space="preserve">he reversible potential of a fuel cell at temperature T is calculated from the </w:t>
      </w:r>
      <w:r w:rsidRPr="008F23CC">
        <w:rPr>
          <w:rFonts w:ascii="Times New Roman" w:hAnsi="Times New Roman" w:cs="Times New Roman"/>
          <w:sz w:val="20"/>
          <w:szCs w:val="20"/>
        </w:rPr>
        <w:t>Δ</w:t>
      </w:r>
      <w:r w:rsidR="00F84350">
        <w:rPr>
          <w:rFonts w:ascii="Times New Roman" w:hAnsi="Times New Roman" w:cs="Times New Roman"/>
          <w:sz w:val="20"/>
          <w:szCs w:val="20"/>
          <w:lang w:val="en-US"/>
        </w:rPr>
        <w:t xml:space="preserve">G of the cell reaction, </w:t>
      </w:r>
      <w:r w:rsidRPr="008F23CC">
        <w:rPr>
          <w:rFonts w:ascii="Times New Roman" w:hAnsi="Times New Roman" w:cs="Times New Roman"/>
          <w:sz w:val="20"/>
          <w:szCs w:val="20"/>
          <w:lang w:val="en-US"/>
        </w:rPr>
        <w:t>at that temperature</w:t>
      </w:r>
      <w:r w:rsidR="00F84350">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p>
    <w:p w:rsidR="00F84350" w:rsidRPr="008F23CC" w:rsidRDefault="00F84350" w:rsidP="00F84350">
      <w:pPr>
        <w:widowControl w:val="0"/>
        <w:autoSpaceDE w:val="0"/>
        <w:autoSpaceDN w:val="0"/>
        <w:adjustRightInd w:val="0"/>
        <w:spacing w:after="0" w:line="240" w:lineRule="auto"/>
        <w:jc w:val="both"/>
        <w:rPr>
          <w:rFonts w:ascii="Times New Roman" w:hAnsi="Times New Roman" w:cs="Times New Roman"/>
          <w:sz w:val="20"/>
          <w:szCs w:val="20"/>
          <w:lang w:val="en-US"/>
        </w:rPr>
      </w:pPr>
    </w:p>
    <w:p w:rsidR="00893035" w:rsidRPr="008F23CC" w:rsidRDefault="0089303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r>
          <m:rPr>
            <m:sty m:val="p"/>
          </m:rPr>
          <w:rPr>
            <w:rFonts w:ascii="Times New Roman" w:hAnsi="Times New Roman" w:cs="Times New Roman"/>
            <w:sz w:val="20"/>
            <w:szCs w:val="20"/>
          </w:rPr>
          <m:t>Δ</m:t>
        </m:r>
        <m:r>
          <m:rPr>
            <m:sty m:val="p"/>
          </m:rPr>
          <w:rPr>
            <w:rFonts w:ascii="Cambria Math" w:hAnsi="Times New Roman" w:cs="Times New Roman"/>
            <w:sz w:val="20"/>
            <w:szCs w:val="20"/>
            <w:lang w:val="en-US"/>
          </w:rPr>
          <m:t>G=</m:t>
        </m:r>
        <m:sSup>
          <m:sSupPr>
            <m:ctrlPr>
              <w:rPr>
                <w:rFonts w:ascii="Cambria Math" w:hAnsi="Times New Roman" w:cs="Times New Roman"/>
                <w:sz w:val="20"/>
                <w:szCs w:val="20"/>
              </w:rPr>
            </m:ctrlPr>
          </m:sSupPr>
          <m:e>
            <m:r>
              <m:rPr>
                <m:sty m:val="p"/>
              </m:rPr>
              <w:rPr>
                <w:rFonts w:ascii="Times New Roman" w:hAnsi="Times New Roman" w:cs="Times New Roman"/>
                <w:sz w:val="20"/>
                <w:szCs w:val="20"/>
              </w:rPr>
              <m:t>Δ</m:t>
            </m:r>
            <m:r>
              <m:rPr>
                <m:sty m:val="p"/>
              </m:rPr>
              <w:rPr>
                <w:rFonts w:ascii="Cambria Math" w:hAnsi="Times New Roman" w:cs="Times New Roman"/>
                <w:sz w:val="20"/>
                <w:szCs w:val="20"/>
                <w:lang w:val="en-US"/>
              </w:rPr>
              <m:t>G</m:t>
            </m:r>
          </m:e>
          <m:sup>
            <m:r>
              <m:rPr>
                <m:sty m:val="p"/>
              </m:rPr>
              <w:rPr>
                <w:rFonts w:ascii="Cambria Math" w:hAnsi="Times New Roman" w:cs="Times New Roman"/>
                <w:sz w:val="20"/>
                <w:szCs w:val="20"/>
                <w:lang w:val="en-US"/>
              </w:rPr>
              <m:t>o</m:t>
            </m:r>
          </m:sup>
        </m:sSup>
        <m:r>
          <m:rPr>
            <m:sty m:val="p"/>
          </m:rPr>
          <w:rPr>
            <w:rFonts w:ascii="Cambria Math" w:hAnsi="Times New Roman" w:cs="Times New Roman"/>
            <w:sz w:val="20"/>
            <w:szCs w:val="20"/>
            <w:lang w:val="en-US"/>
          </w:rPr>
          <m:t>+RTln</m:t>
        </m:r>
        <m:f>
          <m:fPr>
            <m:ctrlPr>
              <w:rPr>
                <w:rFonts w:ascii="Cambria Math" w:hAnsi="Times New Roman" w:cs="Times New Roman"/>
                <w:sz w:val="20"/>
                <w:szCs w:val="20"/>
                <w:lang w:val="en-US"/>
              </w:rPr>
            </m:ctrlPr>
          </m:fPr>
          <m:num>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[C]</m:t>
                </m:r>
              </m:e>
              <m:sup>
                <m:r>
                  <m:rPr>
                    <m:sty m:val="p"/>
                  </m:rPr>
                  <w:rPr>
                    <w:rFonts w:ascii="Cambria Math" w:hAnsi="Times New Roman" w:cs="Times New Roman"/>
                    <w:sz w:val="20"/>
                    <w:szCs w:val="20"/>
                    <w:lang w:val="en-US"/>
                  </w:rPr>
                  <m:t>c</m:t>
                </m:r>
              </m:sup>
            </m:sSup>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[D]</m:t>
                </m:r>
              </m:e>
              <m:sup>
                <m:r>
                  <m:rPr>
                    <m:sty m:val="p"/>
                  </m:rPr>
                  <w:rPr>
                    <w:rFonts w:ascii="Cambria Math" w:hAnsi="Times New Roman" w:cs="Times New Roman"/>
                    <w:sz w:val="20"/>
                    <w:szCs w:val="20"/>
                    <w:lang w:val="en-US"/>
                  </w:rPr>
                  <m:t>d</m:t>
                </m:r>
              </m:sup>
            </m:sSup>
          </m:num>
          <m:den>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[A]</m:t>
                </m:r>
              </m:e>
              <m:sup>
                <m:r>
                  <m:rPr>
                    <m:sty m:val="p"/>
                  </m:rPr>
                  <w:rPr>
                    <w:rFonts w:ascii="Cambria Math" w:hAnsi="Times New Roman" w:cs="Times New Roman"/>
                    <w:sz w:val="20"/>
                    <w:szCs w:val="20"/>
                    <w:lang w:val="en-US"/>
                  </w:rPr>
                  <m:t>a</m:t>
                </m:r>
              </m:sup>
            </m:sSup>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[B]</m:t>
                </m:r>
              </m:e>
              <m:sup>
                <m:r>
                  <m:rPr>
                    <m:sty m:val="p"/>
                  </m:rPr>
                  <w:rPr>
                    <w:rFonts w:ascii="Cambria Math" w:hAnsi="Times New Roman" w:cs="Times New Roman"/>
                    <w:sz w:val="20"/>
                    <w:szCs w:val="20"/>
                    <w:lang w:val="en-US"/>
                  </w:rPr>
                  <m:t>b</m:t>
                </m:r>
              </m:sup>
            </m:sSup>
          </m:den>
        </m:f>
      </m:oMath>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84350">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t>4.</w:t>
      </w:r>
    </w:p>
    <w:p w:rsidR="00893035" w:rsidRPr="008F23CC" w:rsidRDefault="0089303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w:p>
    <w:p w:rsidR="00893035" w:rsidRPr="008F23CC" w:rsidRDefault="00E40C28" w:rsidP="003066A0">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so</w:t>
      </w:r>
      <w:r w:rsidR="00FB33AE" w:rsidRPr="008F23CC">
        <w:rPr>
          <w:rFonts w:ascii="Times New Roman" w:hAnsi="Times New Roman" w:cs="Times New Roman"/>
          <w:sz w:val="20"/>
          <w:szCs w:val="20"/>
          <w:lang w:val="en-US"/>
        </w:rPr>
        <w:t xml:space="preserve"> that</w:t>
      </w:r>
      <w:r w:rsidR="00893035" w:rsidRPr="008F23CC">
        <w:rPr>
          <w:rFonts w:ascii="Times New Roman" w:hAnsi="Times New Roman" w:cs="Times New Roman"/>
          <w:sz w:val="20"/>
          <w:szCs w:val="20"/>
          <w:lang w:val="en-US"/>
        </w:rPr>
        <w:t xml:space="preserve"> the reversible potential, becomes:</w:t>
      </w:r>
    </w:p>
    <w:p w:rsidR="00893035" w:rsidRPr="008F23CC" w:rsidRDefault="00893035"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893035" w:rsidRPr="008F23CC" w:rsidRDefault="0089303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r>
          <m:rPr>
            <m:sty m:val="p"/>
          </m:rPr>
          <w:rPr>
            <w:rFonts w:ascii="Cambria Math" w:hAnsi="Times New Roman" w:cs="Times New Roman"/>
            <w:sz w:val="20"/>
            <w:szCs w:val="20"/>
            <w:lang w:val="en-US"/>
          </w:rPr>
          <m:t>E=</m:t>
        </m:r>
        <m:sSup>
          <m:sSupPr>
            <m:ctrlPr>
              <w:rPr>
                <w:rFonts w:ascii="Cambria Math" w:hAnsi="Times New Roman" w:cs="Times New Roman"/>
                <w:sz w:val="20"/>
                <w:szCs w:val="20"/>
              </w:rPr>
            </m:ctrlPr>
          </m:sSupPr>
          <m:e>
            <m:r>
              <m:rPr>
                <m:sty m:val="p"/>
              </m:rPr>
              <w:rPr>
                <w:rFonts w:ascii="Cambria Math" w:hAnsi="Times New Roman" w:cs="Times New Roman"/>
                <w:sz w:val="20"/>
                <w:szCs w:val="20"/>
                <w:lang w:val="en-US"/>
              </w:rPr>
              <m:t>E</m:t>
            </m:r>
          </m:e>
          <m:sup>
            <m:r>
              <m:rPr>
                <m:sty m:val="p"/>
              </m:rPr>
              <w:rPr>
                <w:rFonts w:ascii="Cambria Math" w:hAnsi="Times New Roman" w:cs="Times New Roman"/>
                <w:sz w:val="20"/>
                <w:szCs w:val="20"/>
                <w:lang w:val="en-US"/>
              </w:rPr>
              <m:t>o</m:t>
            </m:r>
          </m:sup>
        </m:sSup>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Cambria Math" w:hAnsi="Times New Roman" w:cs="Times New Roman"/>
                <w:sz w:val="20"/>
                <w:szCs w:val="20"/>
                <w:lang w:val="en-US"/>
              </w:rPr>
              <m:t>nF</m:t>
            </m:r>
          </m:den>
        </m:f>
        <m:r>
          <m:rPr>
            <m:sty m:val="p"/>
          </m:rPr>
          <w:rPr>
            <w:rFonts w:ascii="Cambria Math" w:hAnsi="Times New Roman" w:cs="Times New Roman"/>
            <w:sz w:val="20"/>
            <w:szCs w:val="20"/>
            <w:lang w:val="en-US"/>
          </w:rPr>
          <m:t>ln</m:t>
        </m:r>
        <m:f>
          <m:fPr>
            <m:ctrlPr>
              <w:rPr>
                <w:rFonts w:ascii="Cambria Math" w:hAnsi="Times New Roman" w:cs="Times New Roman"/>
                <w:sz w:val="20"/>
                <w:szCs w:val="20"/>
                <w:lang w:val="en-US"/>
              </w:rPr>
            </m:ctrlPr>
          </m:fPr>
          <m:num>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[A]</m:t>
                </m:r>
              </m:e>
              <m:sup>
                <m:r>
                  <m:rPr>
                    <m:sty m:val="p"/>
                  </m:rPr>
                  <w:rPr>
                    <w:rFonts w:ascii="Cambria Math" w:hAnsi="Times New Roman" w:cs="Times New Roman"/>
                    <w:sz w:val="20"/>
                    <w:szCs w:val="20"/>
                    <w:lang w:val="en-US"/>
                  </w:rPr>
                  <m:t>a</m:t>
                </m:r>
              </m:sup>
            </m:sSup>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[B]</m:t>
                </m:r>
              </m:e>
              <m:sup>
                <m:r>
                  <m:rPr>
                    <m:sty m:val="p"/>
                  </m:rPr>
                  <w:rPr>
                    <w:rFonts w:ascii="Cambria Math" w:hAnsi="Times New Roman" w:cs="Times New Roman"/>
                    <w:sz w:val="20"/>
                    <w:szCs w:val="20"/>
                    <w:lang w:val="en-US"/>
                  </w:rPr>
                  <m:t>b</m:t>
                </m:r>
              </m:sup>
            </m:sSup>
          </m:num>
          <m:den>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[C]</m:t>
                </m:r>
              </m:e>
              <m:sup>
                <m:r>
                  <m:rPr>
                    <m:sty m:val="p"/>
                  </m:rPr>
                  <w:rPr>
                    <w:rFonts w:ascii="Cambria Math" w:hAnsi="Times New Roman" w:cs="Times New Roman"/>
                    <w:sz w:val="20"/>
                    <w:szCs w:val="20"/>
                    <w:lang w:val="en-US"/>
                  </w:rPr>
                  <m:t>c</m:t>
                </m:r>
              </m:sup>
            </m:sSup>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[D]</m:t>
                </m:r>
              </m:e>
              <m:sup>
                <m:r>
                  <m:rPr>
                    <m:sty m:val="p"/>
                  </m:rPr>
                  <w:rPr>
                    <w:rFonts w:ascii="Cambria Math" w:hAnsi="Times New Roman" w:cs="Times New Roman"/>
                    <w:sz w:val="20"/>
                    <w:szCs w:val="20"/>
                    <w:lang w:val="en-US"/>
                  </w:rPr>
                  <m:t>d</m:t>
                </m:r>
              </m:sup>
            </m:sSup>
          </m:den>
        </m:f>
        <m:r>
          <m:rPr>
            <m:sty m:val="p"/>
          </m:rPr>
          <w:rPr>
            <w:rFonts w:ascii="Cambria Math" w:hAnsi="Times New Roman" w:cs="Times New Roman"/>
            <w:sz w:val="20"/>
            <w:szCs w:val="20"/>
            <w:lang w:val="en-US"/>
          </w:rPr>
          <m:t xml:space="preserve"> </m:t>
        </m:r>
      </m:oMath>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t>5.</w:t>
      </w:r>
    </w:p>
    <w:p w:rsidR="00893035" w:rsidRPr="008F23CC" w:rsidRDefault="00893035"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01156F" w:rsidRPr="008F23CC" w:rsidRDefault="0089303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general form of the Nernst equation, where </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G</w:t>
      </w:r>
      <w:r w:rsidRPr="008F23CC">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 xml:space="preserve"> and E</w:t>
      </w:r>
      <w:r w:rsidRPr="008F23CC">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 xml:space="preserve"> refer to 298 K. </w:t>
      </w:r>
      <w:r w:rsidR="0001156F" w:rsidRPr="008F23CC">
        <w:rPr>
          <w:rFonts w:ascii="Times New Roman" w:hAnsi="Times New Roman" w:cs="Times New Roman"/>
          <w:sz w:val="20"/>
          <w:szCs w:val="20"/>
          <w:lang w:val="en-US"/>
        </w:rPr>
        <w:t>The ideal performance of a fuel cell is defined by its Nernst potential. Nernst equations, which quantify the relationship between the ideal standard potential (E°) and the ideal equilibrium potential (E), for the electrochemical reactions of the various types of fuel cells</w:t>
      </w:r>
      <w:r w:rsidR="00F84350">
        <w:rPr>
          <w:rFonts w:ascii="Times New Roman" w:hAnsi="Times New Roman" w:cs="Times New Roman"/>
          <w:sz w:val="20"/>
          <w:szCs w:val="20"/>
          <w:lang w:val="en-US"/>
        </w:rPr>
        <w:t xml:space="preserve">, </w:t>
      </w:r>
      <w:r w:rsidR="0001156F" w:rsidRPr="008F23CC">
        <w:rPr>
          <w:rFonts w:ascii="Times New Roman" w:hAnsi="Times New Roman" w:cs="Times New Roman"/>
          <w:sz w:val="20"/>
          <w:szCs w:val="20"/>
          <w:lang w:val="en-US"/>
        </w:rPr>
        <w:t>along the typical values of Nernst potentials, at their operation temperatures are presented in Table 2</w:t>
      </w:r>
      <w:r w:rsidR="00FB33AE" w:rsidRPr="008F23CC">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w:t>
      </w:r>
      <w:r w:rsidR="00FB33AE" w:rsidRPr="008F23CC">
        <w:rPr>
          <w:rFonts w:ascii="Times New Roman" w:hAnsi="Times New Roman" w:cs="Times New Roman"/>
          <w:sz w:val="20"/>
          <w:szCs w:val="20"/>
          <w:lang w:val="en-US"/>
        </w:rPr>
        <w:t>]</w:t>
      </w:r>
      <w:r w:rsidR="0001156F" w:rsidRPr="008F23CC">
        <w:rPr>
          <w:rFonts w:ascii="Times New Roman" w:hAnsi="Times New Roman" w:cs="Times New Roman"/>
          <w:sz w:val="20"/>
          <w:szCs w:val="20"/>
          <w:lang w:val="en-US"/>
        </w:rPr>
        <w:t xml:space="preserve">. </w:t>
      </w: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b/>
          <w:sz w:val="20"/>
          <w:szCs w:val="20"/>
          <w:lang w:val="en-US"/>
        </w:rPr>
        <w:t>Table 2</w:t>
      </w:r>
      <w:r w:rsidRPr="008F23CC">
        <w:rPr>
          <w:rFonts w:ascii="Times New Roman" w:hAnsi="Times New Roman" w:cs="Times New Roman"/>
          <w:sz w:val="20"/>
          <w:szCs w:val="20"/>
          <w:lang w:val="en-US"/>
        </w:rPr>
        <w:t xml:space="preserve"> Nernst equations and ideal voltages for the various types of fuel cells</w:t>
      </w:r>
    </w:p>
    <w:tbl>
      <w:tblPr>
        <w:tblStyle w:val="a3"/>
        <w:tblW w:w="8647"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811"/>
        <w:gridCol w:w="2841"/>
        <w:gridCol w:w="3119"/>
        <w:gridCol w:w="1026"/>
        <w:gridCol w:w="850"/>
      </w:tblGrid>
      <w:tr w:rsidR="0001156F" w:rsidRPr="008F23CC" w:rsidTr="00593309">
        <w:tc>
          <w:tcPr>
            <w:tcW w:w="811" w:type="dxa"/>
            <w:tcBorders>
              <w:top w:val="single" w:sz="4" w:space="0" w:color="auto"/>
              <w:bottom w:val="single" w:sz="4" w:space="0" w:color="auto"/>
            </w:tcBorders>
          </w:tcPr>
          <w:p w:rsidR="0001156F" w:rsidRPr="008F23CC" w:rsidRDefault="0001156F" w:rsidP="003066A0">
            <w:pPr>
              <w:widowControl w:val="0"/>
              <w:autoSpaceDE w:val="0"/>
              <w:autoSpaceDN w:val="0"/>
              <w:adjustRightInd w:val="0"/>
              <w:jc w:val="center"/>
              <w:rPr>
                <w:rFonts w:ascii="Times New Roman" w:hAnsi="Times New Roman" w:cs="Times New Roman"/>
                <w:b/>
                <w:sz w:val="20"/>
                <w:szCs w:val="20"/>
                <w:lang w:val="en-US"/>
              </w:rPr>
            </w:pPr>
            <w:r w:rsidRPr="008F23CC">
              <w:rPr>
                <w:rFonts w:ascii="Times New Roman" w:hAnsi="Times New Roman" w:cs="Times New Roman"/>
                <w:b/>
                <w:sz w:val="20"/>
                <w:szCs w:val="20"/>
                <w:lang w:val="en-US"/>
              </w:rPr>
              <w:t>type</w:t>
            </w:r>
          </w:p>
        </w:tc>
        <w:tc>
          <w:tcPr>
            <w:tcW w:w="2841" w:type="dxa"/>
            <w:tcBorders>
              <w:top w:val="single" w:sz="4" w:space="0" w:color="auto"/>
              <w:bottom w:val="single" w:sz="4" w:space="0" w:color="auto"/>
            </w:tcBorders>
          </w:tcPr>
          <w:p w:rsidR="0001156F" w:rsidRPr="008F23CC" w:rsidRDefault="0001156F" w:rsidP="003066A0">
            <w:pPr>
              <w:widowControl w:val="0"/>
              <w:autoSpaceDE w:val="0"/>
              <w:autoSpaceDN w:val="0"/>
              <w:adjustRightInd w:val="0"/>
              <w:jc w:val="center"/>
              <w:rPr>
                <w:rFonts w:ascii="Times New Roman" w:hAnsi="Times New Roman" w:cs="Times New Roman"/>
                <w:b/>
                <w:sz w:val="20"/>
                <w:szCs w:val="20"/>
                <w:lang w:val="en-US"/>
              </w:rPr>
            </w:pPr>
            <w:r w:rsidRPr="008F23CC">
              <w:rPr>
                <w:rFonts w:ascii="Times New Roman" w:hAnsi="Times New Roman" w:cs="Times New Roman"/>
                <w:b/>
                <w:sz w:val="20"/>
                <w:szCs w:val="20"/>
                <w:lang w:val="en-US"/>
              </w:rPr>
              <w:t>overall (anode + cathode) reaction</w:t>
            </w:r>
          </w:p>
        </w:tc>
        <w:tc>
          <w:tcPr>
            <w:tcW w:w="3119" w:type="dxa"/>
            <w:tcBorders>
              <w:top w:val="single" w:sz="4" w:space="0" w:color="auto"/>
              <w:bottom w:val="single" w:sz="4" w:space="0" w:color="auto"/>
            </w:tcBorders>
          </w:tcPr>
          <w:p w:rsidR="0001156F" w:rsidRPr="008F23CC" w:rsidRDefault="0001156F" w:rsidP="003066A0">
            <w:pPr>
              <w:widowControl w:val="0"/>
              <w:autoSpaceDE w:val="0"/>
              <w:autoSpaceDN w:val="0"/>
              <w:adjustRightInd w:val="0"/>
              <w:jc w:val="center"/>
              <w:rPr>
                <w:rFonts w:ascii="Times New Roman" w:hAnsi="Times New Roman" w:cs="Times New Roman"/>
                <w:b/>
                <w:sz w:val="20"/>
                <w:szCs w:val="20"/>
                <w:lang w:val="en-US"/>
              </w:rPr>
            </w:pPr>
            <w:r w:rsidRPr="008F23CC">
              <w:rPr>
                <w:rFonts w:ascii="Times New Roman" w:hAnsi="Times New Roman" w:cs="Times New Roman"/>
                <w:b/>
                <w:sz w:val="20"/>
                <w:szCs w:val="20"/>
                <w:lang w:val="en-US"/>
              </w:rPr>
              <w:t>Nernst equation</w:t>
            </w:r>
          </w:p>
        </w:tc>
        <w:tc>
          <w:tcPr>
            <w:tcW w:w="1026" w:type="dxa"/>
            <w:tcBorders>
              <w:top w:val="single" w:sz="4" w:space="0" w:color="auto"/>
              <w:bottom w:val="single" w:sz="4" w:space="0" w:color="auto"/>
            </w:tcBorders>
          </w:tcPr>
          <w:p w:rsidR="0001156F" w:rsidRPr="008F23CC" w:rsidRDefault="0001156F" w:rsidP="003066A0">
            <w:pPr>
              <w:widowControl w:val="0"/>
              <w:autoSpaceDE w:val="0"/>
              <w:autoSpaceDN w:val="0"/>
              <w:adjustRightInd w:val="0"/>
              <w:jc w:val="center"/>
              <w:rPr>
                <w:rFonts w:ascii="Times New Roman" w:hAnsi="Times New Roman" w:cs="Times New Roman"/>
                <w:b/>
                <w:sz w:val="20"/>
                <w:szCs w:val="20"/>
                <w:lang w:val="en-US"/>
              </w:rPr>
            </w:pPr>
            <w:r w:rsidRPr="008F23CC">
              <w:rPr>
                <w:rFonts w:ascii="Times New Roman" w:hAnsi="Times New Roman" w:cs="Times New Roman"/>
                <w:b/>
                <w:sz w:val="20"/>
                <w:szCs w:val="20"/>
                <w:lang w:val="en-US"/>
              </w:rPr>
              <w:t xml:space="preserve">T, </w:t>
            </w:r>
            <w:r w:rsidRPr="008F23CC">
              <w:rPr>
                <w:rFonts w:ascii="Times New Roman" w:hAnsi="Times New Roman" w:cs="Times New Roman"/>
                <w:b/>
                <w:sz w:val="20"/>
                <w:szCs w:val="20"/>
                <w:vertAlign w:val="superscript"/>
                <w:lang w:val="en-US"/>
              </w:rPr>
              <w:t>o</w:t>
            </w:r>
            <w:r w:rsidRPr="008F23CC">
              <w:rPr>
                <w:rFonts w:ascii="Times New Roman" w:hAnsi="Times New Roman" w:cs="Times New Roman"/>
                <w:b/>
                <w:sz w:val="20"/>
                <w:szCs w:val="20"/>
                <w:lang w:val="en-US"/>
              </w:rPr>
              <w:t>C</w:t>
            </w:r>
          </w:p>
        </w:tc>
        <w:tc>
          <w:tcPr>
            <w:tcW w:w="850" w:type="dxa"/>
            <w:tcBorders>
              <w:top w:val="single" w:sz="4" w:space="0" w:color="auto"/>
              <w:bottom w:val="single" w:sz="4" w:space="0" w:color="auto"/>
            </w:tcBorders>
          </w:tcPr>
          <w:p w:rsidR="0001156F" w:rsidRPr="008F23CC" w:rsidRDefault="004A1353" w:rsidP="003066A0">
            <w:pPr>
              <w:widowControl w:val="0"/>
              <w:autoSpaceDE w:val="0"/>
              <w:autoSpaceDN w:val="0"/>
              <w:adjustRightInd w:val="0"/>
              <w:jc w:val="center"/>
              <w:rPr>
                <w:rFonts w:ascii="Times New Roman" w:hAnsi="Times New Roman" w:cs="Times New Roman"/>
                <w:b/>
                <w:sz w:val="20"/>
                <w:szCs w:val="20"/>
                <w:lang w:val="en-US"/>
              </w:rPr>
            </w:pPr>
            <w:r w:rsidRPr="008F23CC">
              <w:rPr>
                <w:rFonts w:ascii="Times New Roman" w:hAnsi="Times New Roman" w:cs="Times New Roman"/>
                <w:b/>
                <w:sz w:val="20"/>
                <w:szCs w:val="20"/>
                <w:lang w:val="en-US"/>
              </w:rPr>
              <w:t>E</w:t>
            </w:r>
            <w:r w:rsidR="0001156F" w:rsidRPr="008F23CC">
              <w:rPr>
                <w:rFonts w:ascii="Times New Roman" w:hAnsi="Times New Roman" w:cs="Times New Roman"/>
                <w:b/>
                <w:sz w:val="20"/>
                <w:szCs w:val="20"/>
                <w:lang w:val="en-US"/>
              </w:rPr>
              <w:t>, V</w:t>
            </w:r>
          </w:p>
        </w:tc>
      </w:tr>
      <w:tr w:rsidR="00C576F4" w:rsidRPr="008F23CC" w:rsidTr="00593309">
        <w:tc>
          <w:tcPr>
            <w:tcW w:w="811" w:type="dxa"/>
            <w:tcBorders>
              <w:top w:val="single" w:sz="4" w:space="0" w:color="auto"/>
              <w:bottom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AFC</w:t>
            </w:r>
          </w:p>
        </w:tc>
        <w:tc>
          <w:tcPr>
            <w:tcW w:w="2841" w:type="dxa"/>
            <w:tcBorders>
              <w:top w:val="single" w:sz="4" w:space="0" w:color="auto"/>
              <w:bottom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+ 1/2O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O → 2H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O </w:t>
            </w:r>
          </w:p>
        </w:tc>
        <w:tc>
          <w:tcPr>
            <w:tcW w:w="3119" w:type="dxa"/>
            <w:tcBorders>
              <w:top w:val="single" w:sz="4" w:space="0" w:color="auto"/>
              <w:bottom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eastAsia="Calibri" w:hAnsi="Times New Roman" w:cs="Times New Roman"/>
                <w:sz w:val="20"/>
                <w:szCs w:val="20"/>
              </w:rPr>
            </w:pPr>
            <m:oMathPara>
              <m:oMath>
                <m:r>
                  <m:rPr>
                    <m:sty m:val="p"/>
                  </m:rPr>
                  <w:rPr>
                    <w:rFonts w:ascii="Cambria Math" w:hAnsi="Times New Roman" w:cs="Times New Roman"/>
                    <w:sz w:val="20"/>
                    <w:szCs w:val="20"/>
                  </w:rPr>
                  <m:t>E</m:t>
                </m:r>
                <m:r>
                  <m:rPr>
                    <m:sty m:val="p"/>
                  </m:rPr>
                  <w:rPr>
                    <w:rFonts w:ascii="Cambria Math" w:hAnsi="Times New Roman" w:cs="Times New Roman"/>
                    <w:sz w:val="20"/>
                    <w:szCs w:val="20"/>
                    <w:lang w:val="en-US"/>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Cambria Math" w:hAnsi="Times New Roman" w:cs="Times New Roman"/>
                        <w:sz w:val="20"/>
                        <w:szCs w:val="20"/>
                      </w:rPr>
                      <m:t>o</m:t>
                    </m:r>
                  </m:sup>
                </m:sSup>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Cambria Math" w:hAnsi="Times New Roman" w:cs="Times New Roman"/>
                        <w:sz w:val="20"/>
                        <w:szCs w:val="20"/>
                        <w:lang w:val="en-US"/>
                      </w:rPr>
                      <m:t>2F</m:t>
                    </m:r>
                  </m:den>
                </m:f>
                <m:r>
                  <m:rPr>
                    <m:sty m:val="p"/>
                  </m:rPr>
                  <w:rPr>
                    <w:rFonts w:ascii="Cambria Math" w:hAnsi="Times New Roman" w:cs="Times New Roman"/>
                    <w:sz w:val="20"/>
                    <w:szCs w:val="20"/>
                    <w:lang w:val="en-US"/>
                  </w:rPr>
                  <m:t>ln</m:t>
                </m:r>
                <m:f>
                  <m:fPr>
                    <m:ctrlPr>
                      <w:rPr>
                        <w:rFonts w:ascii="Cambria Math" w:hAnsi="Times New Roman" w:cs="Times New Roman"/>
                        <w:sz w:val="20"/>
                        <w:szCs w:val="20"/>
                        <w:lang w:val="en-US"/>
                      </w:rPr>
                    </m:ctrlPr>
                  </m:fPr>
                  <m:num>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m:t>
                        </m:r>
                      </m:sub>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O2</m:t>
                        </m:r>
                      </m:sub>
                      <m:sup>
                        <m:r>
                          <m:rPr>
                            <m:sty m:val="p"/>
                          </m:rPr>
                          <w:rPr>
                            <w:rFonts w:ascii="Cambria Math" w:hAnsi="Times New Roman" w:cs="Times New Roman"/>
                            <w:sz w:val="20"/>
                            <w:szCs w:val="20"/>
                            <w:lang w:val="en-US"/>
                          </w:rPr>
                          <m:t>1/2</m:t>
                        </m:r>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H2O</m:t>
                        </m:r>
                      </m:sub>
                      <m:sup>
                        <m:r>
                          <m:rPr>
                            <m:sty m:val="p"/>
                          </m:rPr>
                          <w:rPr>
                            <w:rFonts w:ascii="Cambria Math" w:hAnsi="Times New Roman" w:cs="Times New Roman"/>
                            <w:sz w:val="20"/>
                            <w:szCs w:val="20"/>
                            <w:lang w:val="en-US"/>
                          </w:rPr>
                          <m:t>anod</m:t>
                        </m:r>
                      </m:sup>
                    </m:sSubSup>
                  </m:num>
                  <m:den>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H2O</m:t>
                        </m:r>
                      </m:sub>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H2O</m:t>
                        </m:r>
                      </m:sub>
                      <m:sup>
                        <m:r>
                          <m:rPr>
                            <m:sty m:val="p"/>
                          </m:rPr>
                          <w:rPr>
                            <w:rFonts w:ascii="Cambria Math" w:hAnsi="Times New Roman" w:cs="Times New Roman"/>
                            <w:sz w:val="20"/>
                            <w:szCs w:val="20"/>
                            <w:lang w:val="en-US"/>
                          </w:rPr>
                          <m:t>cath</m:t>
                        </m:r>
                      </m:sup>
                    </m:sSubSup>
                  </m:den>
                </m:f>
              </m:oMath>
            </m:oMathPara>
          </w:p>
        </w:tc>
        <w:tc>
          <w:tcPr>
            <w:tcW w:w="1026" w:type="dxa"/>
            <w:tcBorders>
              <w:top w:val="single" w:sz="4" w:space="0" w:color="auto"/>
              <w:bottom w:val="single" w:sz="4" w:space="0" w:color="auto"/>
            </w:tcBorders>
            <w:vAlign w:val="center"/>
          </w:tcPr>
          <w:p w:rsidR="00C576F4" w:rsidRPr="008F23CC" w:rsidRDefault="00C576F4" w:rsidP="003066A0">
            <w:pPr>
              <w:widowControl w:val="0"/>
              <w:autoSpaceDE w:val="0"/>
              <w:autoSpaceDN w:val="0"/>
              <w:adjustRightInd w:val="0"/>
              <w:ind w:left="-392" w:right="257"/>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100</w:t>
            </w:r>
          </w:p>
        </w:tc>
        <w:tc>
          <w:tcPr>
            <w:tcW w:w="850" w:type="dxa"/>
            <w:tcBorders>
              <w:top w:val="single" w:sz="4" w:space="0" w:color="auto"/>
              <w:bottom w:val="single" w:sz="4" w:space="0" w:color="auto"/>
            </w:tcBorders>
            <w:vAlign w:val="center"/>
          </w:tcPr>
          <w:p w:rsidR="00C576F4" w:rsidRPr="008F23CC" w:rsidRDefault="00C576F4" w:rsidP="003066A0">
            <w:pPr>
              <w:widowControl w:val="0"/>
              <w:autoSpaceDE w:val="0"/>
              <w:autoSpaceDN w:val="0"/>
              <w:adjustRightInd w:val="0"/>
              <w:ind w:left="-615" w:right="135"/>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1.17</w:t>
            </w:r>
          </w:p>
        </w:tc>
      </w:tr>
      <w:tr w:rsidR="00C576F4" w:rsidRPr="008F23CC" w:rsidTr="00593309">
        <w:tc>
          <w:tcPr>
            <w:tcW w:w="811" w:type="dxa"/>
            <w:tcBorders>
              <w:top w:val="single" w:sz="4" w:space="0" w:color="auto"/>
              <w:bottom w:val="nil"/>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PEFC</w:t>
            </w:r>
          </w:p>
        </w:tc>
        <w:tc>
          <w:tcPr>
            <w:tcW w:w="2841" w:type="dxa"/>
            <w:vMerge w:val="restart"/>
            <w:tcBorders>
              <w:top w:val="single" w:sz="4" w:space="0" w:color="auto"/>
              <w:bottom w:val="nil"/>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+ 1/2O</w:t>
            </w:r>
            <w:r w:rsidRPr="008F23CC">
              <w:rPr>
                <w:rFonts w:ascii="Times New Roman" w:hAnsi="Times New Roman" w:cs="Times New Roman"/>
                <w:sz w:val="20"/>
                <w:szCs w:val="20"/>
                <w:vertAlign w:val="subscript"/>
                <w:lang w:val="en-US"/>
              </w:rPr>
              <w:t xml:space="preserve">2 </w:t>
            </w:r>
            <w:r w:rsidRPr="008F23CC">
              <w:rPr>
                <w:rFonts w:ascii="Times New Roman" w:hAnsi="Times New Roman" w:cs="Times New Roman"/>
                <w:sz w:val="20"/>
                <w:szCs w:val="20"/>
                <w:lang w:val="en-US"/>
              </w:rPr>
              <w:t>→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O</w:t>
            </w:r>
          </w:p>
        </w:tc>
        <w:tc>
          <w:tcPr>
            <w:tcW w:w="3119" w:type="dxa"/>
            <w:vMerge w:val="restart"/>
            <w:tcBorders>
              <w:top w:val="single" w:sz="4" w:space="0" w:color="auto"/>
              <w:bottom w:val="nil"/>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m:oMathPara>
              <m:oMath>
                <m:r>
                  <m:rPr>
                    <m:sty m:val="p"/>
                  </m:rPr>
                  <w:rPr>
                    <w:rFonts w:ascii="Cambria Math" w:hAnsi="Times New Roman" w:cs="Times New Roman"/>
                    <w:sz w:val="20"/>
                    <w:szCs w:val="20"/>
                  </w:rPr>
                  <m:t>E</m:t>
                </m:r>
                <m:r>
                  <m:rPr>
                    <m:sty m:val="p"/>
                  </m:rPr>
                  <w:rPr>
                    <w:rFonts w:ascii="Cambria Math" w:hAnsi="Times New Roman" w:cs="Times New Roman"/>
                    <w:sz w:val="20"/>
                    <w:szCs w:val="20"/>
                    <w:lang w:val="en-US"/>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Cambria Math" w:hAnsi="Times New Roman" w:cs="Times New Roman"/>
                        <w:sz w:val="20"/>
                        <w:szCs w:val="20"/>
                      </w:rPr>
                      <m:t>o</m:t>
                    </m:r>
                  </m:sup>
                </m:sSup>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Cambria Math" w:hAnsi="Times New Roman" w:cs="Times New Roman"/>
                        <w:sz w:val="20"/>
                        <w:szCs w:val="20"/>
                        <w:lang w:val="en-US"/>
                      </w:rPr>
                      <m:t>2F</m:t>
                    </m:r>
                  </m:den>
                </m:f>
                <m:r>
                  <m:rPr>
                    <m:sty m:val="p"/>
                  </m:rPr>
                  <w:rPr>
                    <w:rFonts w:ascii="Cambria Math" w:hAnsi="Times New Roman" w:cs="Times New Roman"/>
                    <w:sz w:val="20"/>
                    <w:szCs w:val="20"/>
                    <w:lang w:val="en-US"/>
                  </w:rPr>
                  <m:t>ln</m:t>
                </m:r>
                <m:f>
                  <m:fPr>
                    <m:ctrlPr>
                      <w:rPr>
                        <w:rFonts w:ascii="Cambria Math" w:hAnsi="Times New Roman" w:cs="Times New Roman"/>
                        <w:sz w:val="20"/>
                        <w:szCs w:val="20"/>
                        <w:lang w:val="en-US"/>
                      </w:rPr>
                    </m:ctrlPr>
                  </m:fPr>
                  <m:num>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m:t>
                        </m:r>
                      </m:sub>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O2</m:t>
                        </m:r>
                      </m:sub>
                      <m:sup>
                        <m:r>
                          <m:rPr>
                            <m:sty m:val="p"/>
                          </m:rPr>
                          <w:rPr>
                            <w:rFonts w:ascii="Cambria Math" w:hAnsi="Times New Roman" w:cs="Times New Roman"/>
                            <w:sz w:val="20"/>
                            <w:szCs w:val="20"/>
                            <w:lang w:val="en-US"/>
                          </w:rPr>
                          <m:t>1/2</m:t>
                        </m:r>
                      </m:sup>
                    </m:sSubSup>
                  </m:num>
                  <m:den>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H2O</m:t>
                        </m:r>
                      </m:sub>
                      <m:sup/>
                    </m:sSubSup>
                  </m:den>
                </m:f>
              </m:oMath>
            </m:oMathPara>
          </w:p>
        </w:tc>
        <w:tc>
          <w:tcPr>
            <w:tcW w:w="1026" w:type="dxa"/>
            <w:tcBorders>
              <w:top w:val="single" w:sz="4" w:space="0" w:color="auto"/>
              <w:bottom w:val="nil"/>
            </w:tcBorders>
            <w:vAlign w:val="center"/>
          </w:tcPr>
          <w:p w:rsidR="00C576F4" w:rsidRPr="008F23CC" w:rsidRDefault="00C576F4" w:rsidP="003066A0">
            <w:pPr>
              <w:widowControl w:val="0"/>
              <w:autoSpaceDE w:val="0"/>
              <w:autoSpaceDN w:val="0"/>
              <w:adjustRightInd w:val="0"/>
              <w:ind w:left="-392" w:right="257"/>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80</w:t>
            </w:r>
          </w:p>
        </w:tc>
        <w:tc>
          <w:tcPr>
            <w:tcW w:w="850" w:type="dxa"/>
            <w:tcBorders>
              <w:top w:val="single" w:sz="4" w:space="0" w:color="auto"/>
              <w:bottom w:val="nil"/>
            </w:tcBorders>
            <w:vAlign w:val="center"/>
          </w:tcPr>
          <w:p w:rsidR="00C576F4" w:rsidRPr="008F23CC" w:rsidRDefault="00C576F4" w:rsidP="003066A0">
            <w:pPr>
              <w:widowControl w:val="0"/>
              <w:autoSpaceDE w:val="0"/>
              <w:autoSpaceDN w:val="0"/>
              <w:adjustRightInd w:val="0"/>
              <w:ind w:left="-615" w:right="135"/>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1.17</w:t>
            </w:r>
          </w:p>
        </w:tc>
      </w:tr>
      <w:tr w:rsidR="00C576F4" w:rsidRPr="008F23CC" w:rsidTr="00593309">
        <w:trPr>
          <w:trHeight w:val="124"/>
        </w:trPr>
        <w:tc>
          <w:tcPr>
            <w:tcW w:w="811" w:type="dxa"/>
            <w:tcBorders>
              <w:top w:val="nil"/>
              <w:bottom w:val="nil"/>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PAFC</w:t>
            </w:r>
          </w:p>
        </w:tc>
        <w:tc>
          <w:tcPr>
            <w:tcW w:w="2841" w:type="dxa"/>
            <w:vMerge/>
            <w:tcBorders>
              <w:top w:val="nil"/>
              <w:bottom w:val="nil"/>
            </w:tcBorders>
          </w:tcPr>
          <w:p w:rsidR="00C576F4" w:rsidRPr="008F23CC" w:rsidRDefault="00C576F4" w:rsidP="003066A0">
            <w:pPr>
              <w:widowControl w:val="0"/>
              <w:autoSpaceDE w:val="0"/>
              <w:autoSpaceDN w:val="0"/>
              <w:adjustRightInd w:val="0"/>
              <w:jc w:val="both"/>
              <w:rPr>
                <w:rFonts w:ascii="Times New Roman" w:hAnsi="Times New Roman" w:cs="Times New Roman"/>
                <w:sz w:val="20"/>
                <w:szCs w:val="20"/>
                <w:lang w:val="en-US"/>
              </w:rPr>
            </w:pPr>
          </w:p>
        </w:tc>
        <w:tc>
          <w:tcPr>
            <w:tcW w:w="3119" w:type="dxa"/>
            <w:vMerge/>
            <w:tcBorders>
              <w:top w:val="nil"/>
              <w:bottom w:val="nil"/>
            </w:tcBorders>
          </w:tcPr>
          <w:p w:rsidR="00C576F4" w:rsidRPr="008F23CC" w:rsidRDefault="00C576F4" w:rsidP="003066A0">
            <w:pPr>
              <w:widowControl w:val="0"/>
              <w:autoSpaceDE w:val="0"/>
              <w:autoSpaceDN w:val="0"/>
              <w:adjustRightInd w:val="0"/>
              <w:jc w:val="both"/>
              <w:rPr>
                <w:rFonts w:ascii="Times New Roman" w:hAnsi="Times New Roman" w:cs="Times New Roman"/>
                <w:sz w:val="20"/>
                <w:szCs w:val="20"/>
                <w:lang w:val="en-US"/>
              </w:rPr>
            </w:pPr>
          </w:p>
        </w:tc>
        <w:tc>
          <w:tcPr>
            <w:tcW w:w="1026" w:type="dxa"/>
            <w:tcBorders>
              <w:top w:val="nil"/>
              <w:bottom w:val="nil"/>
            </w:tcBorders>
            <w:vAlign w:val="center"/>
          </w:tcPr>
          <w:p w:rsidR="00C576F4" w:rsidRPr="008F23CC" w:rsidRDefault="00C576F4" w:rsidP="003066A0">
            <w:pPr>
              <w:widowControl w:val="0"/>
              <w:autoSpaceDE w:val="0"/>
              <w:autoSpaceDN w:val="0"/>
              <w:adjustRightInd w:val="0"/>
              <w:ind w:left="-392" w:right="257"/>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205</w:t>
            </w:r>
          </w:p>
        </w:tc>
        <w:tc>
          <w:tcPr>
            <w:tcW w:w="850" w:type="dxa"/>
            <w:tcBorders>
              <w:top w:val="nil"/>
              <w:bottom w:val="nil"/>
            </w:tcBorders>
            <w:vAlign w:val="center"/>
          </w:tcPr>
          <w:p w:rsidR="00C576F4" w:rsidRPr="008F23CC" w:rsidRDefault="00C576F4" w:rsidP="003066A0">
            <w:pPr>
              <w:widowControl w:val="0"/>
              <w:autoSpaceDE w:val="0"/>
              <w:autoSpaceDN w:val="0"/>
              <w:adjustRightInd w:val="0"/>
              <w:ind w:left="-615" w:right="135"/>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1.14</w:t>
            </w:r>
          </w:p>
        </w:tc>
      </w:tr>
      <w:tr w:rsidR="00C576F4" w:rsidRPr="008F23CC" w:rsidTr="00593309">
        <w:tc>
          <w:tcPr>
            <w:tcW w:w="811" w:type="dxa"/>
            <w:tcBorders>
              <w:top w:val="nil"/>
              <w:bottom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SOFC</w:t>
            </w:r>
          </w:p>
        </w:tc>
        <w:tc>
          <w:tcPr>
            <w:tcW w:w="2841" w:type="dxa"/>
            <w:vMerge/>
            <w:tcBorders>
              <w:top w:val="nil"/>
              <w:bottom w:val="single" w:sz="4" w:space="0" w:color="auto"/>
            </w:tcBorders>
          </w:tcPr>
          <w:p w:rsidR="00C576F4" w:rsidRPr="008F23CC" w:rsidRDefault="00C576F4" w:rsidP="003066A0">
            <w:pPr>
              <w:widowControl w:val="0"/>
              <w:autoSpaceDE w:val="0"/>
              <w:autoSpaceDN w:val="0"/>
              <w:adjustRightInd w:val="0"/>
              <w:jc w:val="both"/>
              <w:rPr>
                <w:rFonts w:ascii="Times New Roman" w:hAnsi="Times New Roman" w:cs="Times New Roman"/>
                <w:sz w:val="20"/>
                <w:szCs w:val="20"/>
                <w:lang w:val="en-US"/>
              </w:rPr>
            </w:pPr>
          </w:p>
        </w:tc>
        <w:tc>
          <w:tcPr>
            <w:tcW w:w="3119" w:type="dxa"/>
            <w:vMerge/>
            <w:tcBorders>
              <w:top w:val="nil"/>
              <w:bottom w:val="single" w:sz="4" w:space="0" w:color="auto"/>
            </w:tcBorders>
          </w:tcPr>
          <w:p w:rsidR="00C576F4" w:rsidRPr="008F23CC" w:rsidRDefault="00C576F4" w:rsidP="003066A0">
            <w:pPr>
              <w:widowControl w:val="0"/>
              <w:autoSpaceDE w:val="0"/>
              <w:autoSpaceDN w:val="0"/>
              <w:adjustRightInd w:val="0"/>
              <w:jc w:val="both"/>
              <w:rPr>
                <w:rFonts w:ascii="Times New Roman" w:hAnsi="Times New Roman" w:cs="Times New Roman"/>
                <w:sz w:val="20"/>
                <w:szCs w:val="20"/>
                <w:lang w:val="en-US"/>
              </w:rPr>
            </w:pPr>
          </w:p>
        </w:tc>
        <w:tc>
          <w:tcPr>
            <w:tcW w:w="1026" w:type="dxa"/>
            <w:tcBorders>
              <w:top w:val="nil"/>
              <w:bottom w:val="single" w:sz="4" w:space="0" w:color="auto"/>
            </w:tcBorders>
            <w:vAlign w:val="center"/>
          </w:tcPr>
          <w:p w:rsidR="00C576F4" w:rsidRPr="008F23CC" w:rsidRDefault="00C576F4" w:rsidP="003066A0">
            <w:pPr>
              <w:widowControl w:val="0"/>
              <w:autoSpaceDE w:val="0"/>
              <w:autoSpaceDN w:val="0"/>
              <w:adjustRightInd w:val="0"/>
              <w:ind w:left="-392" w:right="257"/>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1100</w:t>
            </w:r>
          </w:p>
        </w:tc>
        <w:tc>
          <w:tcPr>
            <w:tcW w:w="850" w:type="dxa"/>
            <w:tcBorders>
              <w:top w:val="nil"/>
              <w:bottom w:val="single" w:sz="4" w:space="0" w:color="auto"/>
            </w:tcBorders>
            <w:vAlign w:val="center"/>
          </w:tcPr>
          <w:p w:rsidR="00C576F4" w:rsidRPr="008F23CC" w:rsidRDefault="00C576F4" w:rsidP="003066A0">
            <w:pPr>
              <w:widowControl w:val="0"/>
              <w:autoSpaceDE w:val="0"/>
              <w:autoSpaceDN w:val="0"/>
              <w:adjustRightInd w:val="0"/>
              <w:ind w:left="-615" w:right="135"/>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0.91</w:t>
            </w:r>
          </w:p>
        </w:tc>
      </w:tr>
      <w:tr w:rsidR="00C576F4" w:rsidRPr="008F23CC" w:rsidTr="00593309">
        <w:trPr>
          <w:trHeight w:val="739"/>
        </w:trPr>
        <w:tc>
          <w:tcPr>
            <w:tcW w:w="811" w:type="dxa"/>
            <w:tcBorders>
              <w:top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MCFC</w:t>
            </w:r>
          </w:p>
        </w:tc>
        <w:tc>
          <w:tcPr>
            <w:tcW w:w="2841" w:type="dxa"/>
            <w:tcBorders>
              <w:top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w:r w:rsidRPr="008F23CC">
              <w:rPr>
                <w:rFonts w:ascii="Times New Roman" w:hAnsi="Times New Roman" w:cs="Times New Roman"/>
                <w:sz w:val="20"/>
                <w:szCs w:val="20"/>
                <w:lang w:val="en-US"/>
              </w:rPr>
              <w:t>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+ 1/2O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CO</w:t>
            </w:r>
            <w:r w:rsidRPr="008F23CC">
              <w:rPr>
                <w:rFonts w:ascii="Times New Roman" w:hAnsi="Times New Roman" w:cs="Times New Roman"/>
                <w:sz w:val="20"/>
                <w:szCs w:val="20"/>
                <w:vertAlign w:val="subscript"/>
                <w:lang w:val="en-US"/>
              </w:rPr>
              <w:t xml:space="preserve">2 </w:t>
            </w:r>
            <w:r w:rsidRPr="008F23CC">
              <w:rPr>
                <w:rFonts w:ascii="Times New Roman" w:hAnsi="Times New Roman" w:cs="Times New Roman"/>
                <w:sz w:val="20"/>
                <w:szCs w:val="20"/>
                <w:lang w:val="en-US"/>
              </w:rPr>
              <w:t>→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O + CO</w:t>
            </w:r>
            <w:r w:rsidRPr="008F23CC">
              <w:rPr>
                <w:rFonts w:ascii="Times New Roman" w:hAnsi="Times New Roman" w:cs="Times New Roman"/>
                <w:sz w:val="20"/>
                <w:szCs w:val="20"/>
                <w:vertAlign w:val="subscript"/>
                <w:lang w:val="en-US"/>
              </w:rPr>
              <w:t>2</w:t>
            </w:r>
          </w:p>
        </w:tc>
        <w:tc>
          <w:tcPr>
            <w:tcW w:w="3119" w:type="dxa"/>
            <w:tcBorders>
              <w:top w:val="single" w:sz="4" w:space="0" w:color="auto"/>
            </w:tcBorders>
            <w:vAlign w:val="center"/>
          </w:tcPr>
          <w:p w:rsidR="00C576F4" w:rsidRPr="008F23CC" w:rsidRDefault="00C576F4" w:rsidP="003066A0">
            <w:pPr>
              <w:widowControl w:val="0"/>
              <w:autoSpaceDE w:val="0"/>
              <w:autoSpaceDN w:val="0"/>
              <w:adjustRightInd w:val="0"/>
              <w:jc w:val="center"/>
              <w:rPr>
                <w:rFonts w:ascii="Times New Roman" w:hAnsi="Times New Roman" w:cs="Times New Roman"/>
                <w:sz w:val="20"/>
                <w:szCs w:val="20"/>
                <w:lang w:val="en-US"/>
              </w:rPr>
            </w:pPr>
            <m:oMathPara>
              <m:oMath>
                <m:r>
                  <m:rPr>
                    <m:sty m:val="p"/>
                  </m:rPr>
                  <w:rPr>
                    <w:rFonts w:ascii="Cambria Math" w:hAnsi="Times New Roman" w:cs="Times New Roman"/>
                    <w:sz w:val="20"/>
                    <w:szCs w:val="20"/>
                  </w:rPr>
                  <m:t>E</m:t>
                </m:r>
                <m:r>
                  <m:rPr>
                    <m:sty m:val="p"/>
                  </m:rPr>
                  <w:rPr>
                    <w:rFonts w:ascii="Cambria Math" w:hAnsi="Times New Roman" w:cs="Times New Roman"/>
                    <w:sz w:val="20"/>
                    <w:szCs w:val="20"/>
                    <w:lang w:val="en-US"/>
                  </w:rPr>
                  <m:t>=</m:t>
                </m:r>
                <m:sSup>
                  <m:sSupPr>
                    <m:ctrlPr>
                      <w:rPr>
                        <w:rFonts w:ascii="Cambria Math" w:hAnsi="Times New Roman" w:cs="Times New Roman"/>
                        <w:sz w:val="20"/>
                        <w:szCs w:val="20"/>
                      </w:rPr>
                    </m:ctrlPr>
                  </m:sSupPr>
                  <m:e>
                    <m:r>
                      <m:rPr>
                        <m:sty m:val="p"/>
                      </m:rPr>
                      <w:rPr>
                        <w:rFonts w:ascii="Cambria Math" w:hAnsi="Times New Roman" w:cs="Times New Roman"/>
                        <w:sz w:val="20"/>
                        <w:szCs w:val="20"/>
                      </w:rPr>
                      <m:t>E</m:t>
                    </m:r>
                  </m:e>
                  <m:sup>
                    <m:r>
                      <m:rPr>
                        <m:sty m:val="p"/>
                      </m:rPr>
                      <w:rPr>
                        <w:rFonts w:ascii="Cambria Math" w:hAnsi="Times New Roman" w:cs="Times New Roman"/>
                        <w:sz w:val="20"/>
                        <w:szCs w:val="20"/>
                      </w:rPr>
                      <m:t>o</m:t>
                    </m:r>
                  </m:sup>
                </m:sSup>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Cambria Math" w:hAnsi="Times New Roman" w:cs="Times New Roman"/>
                        <w:sz w:val="20"/>
                        <w:szCs w:val="20"/>
                        <w:lang w:val="en-US"/>
                      </w:rPr>
                      <m:t>2F</m:t>
                    </m:r>
                  </m:den>
                </m:f>
                <m:r>
                  <m:rPr>
                    <m:sty m:val="p"/>
                  </m:rPr>
                  <w:rPr>
                    <w:rFonts w:ascii="Cambria Math" w:hAnsi="Times New Roman" w:cs="Times New Roman"/>
                    <w:sz w:val="20"/>
                    <w:szCs w:val="20"/>
                    <w:lang w:val="en-US"/>
                  </w:rPr>
                  <m:t>ln</m:t>
                </m:r>
                <m:f>
                  <m:fPr>
                    <m:ctrlPr>
                      <w:rPr>
                        <w:rFonts w:ascii="Cambria Math" w:hAnsi="Times New Roman" w:cs="Times New Roman"/>
                        <w:sz w:val="20"/>
                        <w:szCs w:val="20"/>
                        <w:lang w:val="en-US"/>
                      </w:rPr>
                    </m:ctrlPr>
                  </m:fPr>
                  <m:num>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m:t>
                        </m:r>
                      </m:sub>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O2</m:t>
                        </m:r>
                      </m:sub>
                      <m:sup>
                        <m:r>
                          <m:rPr>
                            <m:sty m:val="p"/>
                          </m:rPr>
                          <w:rPr>
                            <w:rFonts w:ascii="Cambria Math" w:hAnsi="Times New Roman" w:cs="Times New Roman"/>
                            <w:sz w:val="20"/>
                            <w:szCs w:val="20"/>
                            <w:lang w:val="en-US"/>
                          </w:rPr>
                          <m:t>1/2</m:t>
                        </m:r>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CO2</m:t>
                        </m:r>
                      </m:sub>
                      <m:sup>
                        <m:r>
                          <m:rPr>
                            <m:sty m:val="p"/>
                          </m:rPr>
                          <w:rPr>
                            <w:rFonts w:ascii="Cambria Math" w:hAnsi="Times New Roman" w:cs="Times New Roman"/>
                            <w:sz w:val="20"/>
                            <w:szCs w:val="20"/>
                            <w:lang w:val="en-US"/>
                          </w:rPr>
                          <m:t>anod</m:t>
                        </m:r>
                      </m:sup>
                    </m:sSubSup>
                  </m:num>
                  <m:den>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H2O</m:t>
                        </m:r>
                      </m:sub>
                      <m:sup/>
                    </m:sSubSup>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P</m:t>
                        </m:r>
                      </m:e>
                      <m:sub>
                        <m:r>
                          <m:rPr>
                            <m:sty m:val="p"/>
                          </m:rPr>
                          <w:rPr>
                            <w:rFonts w:ascii="Cambria Math" w:hAnsi="Times New Roman" w:cs="Times New Roman"/>
                            <w:sz w:val="20"/>
                            <w:szCs w:val="20"/>
                            <w:lang w:val="en-US"/>
                          </w:rPr>
                          <m:t>CO2</m:t>
                        </m:r>
                      </m:sub>
                      <m:sup>
                        <m:r>
                          <m:rPr>
                            <m:sty m:val="p"/>
                          </m:rPr>
                          <w:rPr>
                            <w:rFonts w:ascii="Cambria Math" w:hAnsi="Times New Roman" w:cs="Times New Roman"/>
                            <w:sz w:val="20"/>
                            <w:szCs w:val="20"/>
                            <w:lang w:val="en-US"/>
                          </w:rPr>
                          <m:t>cath</m:t>
                        </m:r>
                      </m:sup>
                    </m:sSubSup>
                  </m:den>
                </m:f>
              </m:oMath>
            </m:oMathPara>
          </w:p>
        </w:tc>
        <w:tc>
          <w:tcPr>
            <w:tcW w:w="1026" w:type="dxa"/>
            <w:tcBorders>
              <w:top w:val="single" w:sz="4" w:space="0" w:color="auto"/>
            </w:tcBorders>
            <w:vAlign w:val="center"/>
          </w:tcPr>
          <w:p w:rsidR="00C576F4" w:rsidRPr="008F23CC" w:rsidRDefault="00C576F4" w:rsidP="003066A0">
            <w:pPr>
              <w:widowControl w:val="0"/>
              <w:autoSpaceDE w:val="0"/>
              <w:autoSpaceDN w:val="0"/>
              <w:adjustRightInd w:val="0"/>
              <w:ind w:left="-392" w:right="257"/>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650</w:t>
            </w:r>
          </w:p>
        </w:tc>
        <w:tc>
          <w:tcPr>
            <w:tcW w:w="850" w:type="dxa"/>
            <w:tcBorders>
              <w:top w:val="single" w:sz="4" w:space="0" w:color="auto"/>
            </w:tcBorders>
            <w:vAlign w:val="center"/>
          </w:tcPr>
          <w:p w:rsidR="00C576F4" w:rsidRPr="008F23CC" w:rsidRDefault="00C576F4" w:rsidP="003066A0">
            <w:pPr>
              <w:widowControl w:val="0"/>
              <w:autoSpaceDE w:val="0"/>
              <w:autoSpaceDN w:val="0"/>
              <w:adjustRightInd w:val="0"/>
              <w:ind w:left="-615" w:right="135"/>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1.03</w:t>
            </w:r>
          </w:p>
        </w:tc>
      </w:tr>
    </w:tbl>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F84350"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As noticed from Table 2, and because the entropy change of hydrogen combustion is negative, the reversible potential decreases with temperature by a factor of 0.84 mV/°C (assuming reaction product is liquid water). </w:t>
      </w:r>
      <w:r>
        <w:rPr>
          <w:rFonts w:ascii="Times New Roman" w:hAnsi="Times New Roman" w:cs="Times New Roman"/>
          <w:sz w:val="20"/>
          <w:szCs w:val="20"/>
          <w:lang w:val="en-US"/>
        </w:rPr>
        <w:t>Furthermore, t</w:t>
      </w:r>
      <w:r w:rsidRPr="008F23CC">
        <w:rPr>
          <w:rFonts w:ascii="Times New Roman" w:hAnsi="Times New Roman" w:cs="Times New Roman"/>
          <w:sz w:val="20"/>
          <w:szCs w:val="20"/>
          <w:lang w:val="en-US"/>
        </w:rPr>
        <w:t xml:space="preserve">he actual cell voltage is smaller than its reversible one because of irreversible potential losses (or overpotentials), which originate </w:t>
      </w:r>
      <w:r>
        <w:rPr>
          <w:rFonts w:ascii="Times New Roman" w:hAnsi="Times New Roman" w:cs="Times New Roman"/>
          <w:sz w:val="20"/>
          <w:szCs w:val="20"/>
          <w:lang w:val="en-US"/>
        </w:rPr>
        <w:t xml:space="preserve">either </w:t>
      </w:r>
      <w:r w:rsidRPr="008F23CC">
        <w:rPr>
          <w:rFonts w:ascii="Times New Roman" w:hAnsi="Times New Roman" w:cs="Times New Roman"/>
          <w:sz w:val="20"/>
          <w:szCs w:val="20"/>
          <w:lang w:val="en-US"/>
        </w:rPr>
        <w:t xml:space="preserve">from the potential requirements to activate the electrochemical reactions (activation overpotential – </w:t>
      </w:r>
      <w:r w:rsidRPr="008F23CC">
        <w:rPr>
          <w:rFonts w:ascii="Times New Roman" w:hAnsi="Times New Roman" w:cs="Times New Roman"/>
          <w:sz w:val="20"/>
          <w:szCs w:val="20"/>
        </w:rPr>
        <w:t>η</w:t>
      </w:r>
      <w:r w:rsidRPr="008F23CC">
        <w:rPr>
          <w:rFonts w:ascii="Times New Roman" w:hAnsi="Times New Roman" w:cs="Times New Roman"/>
          <w:sz w:val="20"/>
          <w:szCs w:val="20"/>
          <w:vertAlign w:val="subscript"/>
          <w:lang w:val="en-US"/>
        </w:rPr>
        <w:t>act</w:t>
      </w:r>
      <w:r w:rsidRPr="008F23CC">
        <w:rPr>
          <w:rFonts w:ascii="Times New Roman" w:hAnsi="Times New Roman" w:cs="Times New Roman"/>
          <w:sz w:val="20"/>
          <w:szCs w:val="20"/>
          <w:lang w:val="en-US"/>
        </w:rPr>
        <w:t xml:space="preserve">), the ohmic losses (ohmic overpotential – </w:t>
      </w:r>
      <w:r w:rsidRPr="008F23CC">
        <w:rPr>
          <w:rFonts w:ascii="Times New Roman" w:hAnsi="Times New Roman" w:cs="Times New Roman"/>
          <w:sz w:val="20"/>
          <w:szCs w:val="20"/>
        </w:rPr>
        <w:t>η</w:t>
      </w:r>
      <w:r w:rsidRPr="008F23CC">
        <w:rPr>
          <w:rFonts w:ascii="Times New Roman" w:hAnsi="Times New Roman" w:cs="Times New Roman"/>
          <w:sz w:val="20"/>
          <w:szCs w:val="20"/>
          <w:vertAlign w:val="subscript"/>
          <w:lang w:val="en-US"/>
        </w:rPr>
        <w:t>ohm</w:t>
      </w:r>
      <w:r w:rsidRPr="008F23CC">
        <w:rPr>
          <w:rFonts w:ascii="Times New Roman" w:hAnsi="Times New Roman" w:cs="Times New Roman"/>
          <w:sz w:val="20"/>
          <w:szCs w:val="20"/>
          <w:lang w:val="en-US"/>
        </w:rPr>
        <w:t xml:space="preserve">), </w:t>
      </w:r>
      <w:r>
        <w:rPr>
          <w:rFonts w:ascii="Times New Roman" w:hAnsi="Times New Roman" w:cs="Times New Roman"/>
          <w:sz w:val="20"/>
          <w:szCs w:val="20"/>
          <w:lang w:val="en-US"/>
        </w:rPr>
        <w:t>or</w:t>
      </w:r>
      <w:r w:rsidRPr="008F23CC">
        <w:rPr>
          <w:rFonts w:ascii="Times New Roman" w:hAnsi="Times New Roman" w:cs="Times New Roman"/>
          <w:sz w:val="20"/>
          <w:szCs w:val="20"/>
          <w:lang w:val="en-US"/>
        </w:rPr>
        <w:t xml:space="preserve"> the losses due to the mass transport (gas and electrode’s surface diffusion) of the species participating the electrochemical reactions (concentration overpotential – </w:t>
      </w:r>
      <w:r w:rsidRPr="008F23CC">
        <w:rPr>
          <w:rFonts w:ascii="Times New Roman" w:hAnsi="Times New Roman" w:cs="Times New Roman"/>
          <w:sz w:val="20"/>
          <w:szCs w:val="20"/>
        </w:rPr>
        <w:t>η</w:t>
      </w:r>
      <w:r w:rsidRPr="008F23CC">
        <w:rPr>
          <w:rFonts w:ascii="Times New Roman" w:hAnsi="Times New Roman" w:cs="Times New Roman"/>
          <w:sz w:val="20"/>
          <w:szCs w:val="20"/>
          <w:vertAlign w:val="subscript"/>
          <w:lang w:val="en-US"/>
        </w:rPr>
        <w:t>conc</w:t>
      </w:r>
      <w:r w:rsidRPr="008F23C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01156F" w:rsidRPr="008F23CC">
        <w:rPr>
          <w:rFonts w:ascii="Times New Roman" w:hAnsi="Times New Roman" w:cs="Times New Roman"/>
          <w:sz w:val="20"/>
          <w:szCs w:val="20"/>
          <w:lang w:val="en-US"/>
        </w:rPr>
        <w:t>Activation overpotential is the primary source of voltage losses at low current densities, expressing, in a sense, the activation energy of the electrochemical reactions to occur, and is described by the Butler-Volmer equation, or its high field approximation, known as the Tafel equation:</w:t>
      </w:r>
    </w:p>
    <w:p w:rsidR="0001156F" w:rsidRPr="008F23CC" w:rsidRDefault="0001156F"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01156F"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η</m:t>
            </m:r>
          </m:e>
          <m:sub>
            <m:r>
              <m:rPr>
                <m:sty m:val="p"/>
              </m:rPr>
              <w:rPr>
                <w:rFonts w:ascii="Cambria Math" w:hAnsi="Times New Roman" w:cs="Times New Roman"/>
                <w:sz w:val="20"/>
                <w:szCs w:val="20"/>
                <w:lang w:val="en-US"/>
              </w:rPr>
              <m:t>act</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Times New Roman" w:hAnsi="Times New Roman" w:cs="Times New Roman"/>
                <w:sz w:val="20"/>
                <w:szCs w:val="20"/>
                <w:lang w:val="en-US"/>
              </w:rPr>
              <m:t>α</m:t>
            </m:r>
            <m:r>
              <m:rPr>
                <m:sty m:val="p"/>
              </m:rPr>
              <w:rPr>
                <w:rFonts w:ascii="Cambria Math" w:hAnsi="Times New Roman" w:cs="Times New Roman"/>
                <w:sz w:val="20"/>
                <w:szCs w:val="20"/>
                <w:lang w:val="en-US"/>
              </w:rPr>
              <m:t>nF</m:t>
            </m:r>
          </m:den>
        </m:f>
        <m:r>
          <m:rPr>
            <m:sty m:val="p"/>
          </m:rPr>
          <w:rPr>
            <w:rFonts w:ascii="Cambria Math" w:hAnsi="Times New Roman" w:cs="Times New Roman"/>
            <w:sz w:val="20"/>
            <w:szCs w:val="20"/>
            <w:lang w:val="en-US"/>
          </w:rPr>
          <m:t>ln</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i</m:t>
            </m:r>
          </m:num>
          <m:den>
            <m:sSub>
              <m:sSubPr>
                <m:ctrlPr>
                  <w:rPr>
                    <w:rFonts w:ascii="Cambria Math" w:hAnsi="Times New Roman" w:cs="Times New Roman"/>
                    <w:sz w:val="20"/>
                    <w:szCs w:val="20"/>
                    <w:lang w:val="en-US"/>
                  </w:rPr>
                </m:ctrlPr>
              </m:sSubPr>
              <m:e>
                <m:r>
                  <m:rPr>
                    <m:sty m:val="p"/>
                  </m:rPr>
                  <w:rPr>
                    <w:rFonts w:ascii="Cambria Math" w:hAnsi="Times New Roman" w:cs="Times New Roman"/>
                    <w:sz w:val="20"/>
                    <w:szCs w:val="20"/>
                    <w:lang w:val="en-US"/>
                  </w:rPr>
                  <m:t>i</m:t>
                </m:r>
              </m:e>
              <m:sub>
                <m:r>
                  <m:rPr>
                    <m:sty m:val="p"/>
                  </m:rPr>
                  <w:rPr>
                    <w:rFonts w:ascii="Cambria Math" w:hAnsi="Times New Roman" w:cs="Times New Roman"/>
                    <w:sz w:val="20"/>
                    <w:szCs w:val="20"/>
                    <w:lang w:val="en-US"/>
                  </w:rPr>
                  <m:t>o</m:t>
                </m:r>
              </m:sub>
            </m:sSub>
          </m:den>
        </m:f>
        <m:r>
          <m:rPr>
            <m:sty m:val="p"/>
          </m:rPr>
          <w:rPr>
            <w:rFonts w:ascii="Cambria Math" w:hAnsi="Times New Roman" w:cs="Times New Roman"/>
            <w:sz w:val="20"/>
            <w:szCs w:val="20"/>
            <w:lang w:val="en-US"/>
          </w:rPr>
          <m:t xml:space="preserve"> </m:t>
        </m:r>
      </m:oMath>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t>6.</w:t>
      </w: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w:t>
      </w:r>
      <w:r w:rsidRPr="008F23CC">
        <w:rPr>
          <w:rFonts w:ascii="Times New Roman" w:hAnsi="Times New Roman" w:cs="Times New Roman"/>
          <w:sz w:val="20"/>
          <w:szCs w:val="20"/>
        </w:rPr>
        <w:t>α</w:t>
      </w:r>
      <w:r w:rsidRPr="008F23CC">
        <w:rPr>
          <w:rFonts w:ascii="Times New Roman" w:hAnsi="Times New Roman" w:cs="Times New Roman"/>
          <w:sz w:val="20"/>
          <w:szCs w:val="20"/>
          <w:lang w:val="en-US"/>
        </w:rPr>
        <w:t>, i</w:t>
      </w:r>
      <w:r w:rsidRPr="008F23CC">
        <w:rPr>
          <w:rFonts w:ascii="Times New Roman" w:hAnsi="Times New Roman" w:cs="Times New Roman"/>
          <w:sz w:val="20"/>
          <w:szCs w:val="20"/>
          <w:vertAlign w:val="subscript"/>
          <w:lang w:val="en-US"/>
        </w:rPr>
        <w:t>o</w:t>
      </w:r>
      <w:r w:rsidRPr="008F23CC">
        <w:rPr>
          <w:rFonts w:ascii="Times New Roman" w:hAnsi="Times New Roman" w:cs="Times New Roman"/>
          <w:sz w:val="20"/>
          <w:szCs w:val="20"/>
          <w:lang w:val="en-US"/>
        </w:rPr>
        <w:t xml:space="preserve"> are the charge transfer coefficient and the exchange current density, expressing the effectiveness of the electrode/electrolyte interface under the specific fuel (anode) or oxidant (cathode) conditions). </w:t>
      </w:r>
      <w:r w:rsidR="00F84350">
        <w:rPr>
          <w:rFonts w:ascii="Times New Roman" w:hAnsi="Times New Roman" w:cs="Times New Roman"/>
          <w:sz w:val="20"/>
          <w:szCs w:val="20"/>
          <w:lang w:val="en-US"/>
        </w:rPr>
        <w:t>O</w:t>
      </w:r>
      <w:r w:rsidRPr="008F23CC">
        <w:rPr>
          <w:rFonts w:ascii="Times New Roman" w:hAnsi="Times New Roman" w:cs="Times New Roman"/>
          <w:sz w:val="20"/>
          <w:szCs w:val="20"/>
          <w:lang w:val="en-US"/>
        </w:rPr>
        <w:t>hmic overpotential:</w:t>
      </w: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01156F"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w:r w:rsidRPr="008F23CC">
        <w:rPr>
          <w:rFonts w:ascii="Times New Roman" w:hAnsi="Times New Roman" w:cs="Times New Roman"/>
          <w:sz w:val="20"/>
          <w:szCs w:val="20"/>
        </w:rPr>
        <w:lastRenderedPageBreak/>
        <w:t>η</w:t>
      </w:r>
      <w:r w:rsidRPr="008F23CC">
        <w:rPr>
          <w:rFonts w:ascii="Times New Roman" w:hAnsi="Times New Roman" w:cs="Times New Roman"/>
          <w:sz w:val="20"/>
          <w:szCs w:val="20"/>
          <w:vertAlign w:val="subscript"/>
          <w:lang w:val="en-US"/>
        </w:rPr>
        <w:t>ohm</w:t>
      </w:r>
      <w:r w:rsidRPr="008F23CC">
        <w:rPr>
          <w:rFonts w:ascii="Times New Roman" w:hAnsi="Times New Roman" w:cs="Times New Roman"/>
          <w:sz w:val="20"/>
          <w:szCs w:val="20"/>
          <w:lang w:val="en-US"/>
        </w:rPr>
        <w:t xml:space="preserve"> = iR</w:t>
      </w:r>
      <w:r w:rsidRPr="008F23CC">
        <w:rPr>
          <w:rFonts w:ascii="Times New Roman" w:hAnsi="Times New Roman" w:cs="Times New Roman"/>
          <w:sz w:val="20"/>
          <w:szCs w:val="20"/>
          <w:vertAlign w:val="subscript"/>
          <w:lang w:val="en-US"/>
        </w:rPr>
        <w:t>ohm</w:t>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vertAlign w:val="subscript"/>
          <w:lang w:val="en-US"/>
        </w:rPr>
        <w:tab/>
      </w:r>
      <w:r w:rsidR="00F630F4" w:rsidRPr="008F23CC">
        <w:rPr>
          <w:rFonts w:ascii="Times New Roman" w:hAnsi="Times New Roman" w:cs="Times New Roman"/>
          <w:sz w:val="20"/>
          <w:szCs w:val="20"/>
          <w:lang w:val="en-US"/>
        </w:rPr>
        <w:t>7.</w:t>
      </w: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F84350"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increase</w:t>
      </w:r>
      <w:r>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linearly with current </w:t>
      </w:r>
      <w:r w:rsidR="0001156F" w:rsidRPr="008F23CC">
        <w:rPr>
          <w:rFonts w:ascii="Times New Roman" w:hAnsi="Times New Roman" w:cs="Times New Roman"/>
          <w:sz w:val="20"/>
          <w:szCs w:val="20"/>
          <w:lang w:val="en-US"/>
        </w:rPr>
        <w:t xml:space="preserve">(since the resistance of the cell is essentially constant) becomes gradually predominant, as the current density increases. </w:t>
      </w:r>
      <w:r>
        <w:rPr>
          <w:rFonts w:ascii="Times New Roman" w:hAnsi="Times New Roman" w:cs="Times New Roman"/>
          <w:sz w:val="20"/>
          <w:szCs w:val="20"/>
          <w:lang w:val="en-US"/>
        </w:rPr>
        <w:t>Finally, c</w:t>
      </w:r>
      <w:r w:rsidR="0001156F" w:rsidRPr="008F23CC">
        <w:rPr>
          <w:rFonts w:ascii="Times New Roman" w:hAnsi="Times New Roman" w:cs="Times New Roman"/>
          <w:sz w:val="20"/>
          <w:szCs w:val="20"/>
          <w:lang w:val="en-US"/>
        </w:rPr>
        <w:t>oncentration (mass transport) losses:</w:t>
      </w:r>
    </w:p>
    <w:p w:rsidR="0001156F" w:rsidRPr="008F23CC" w:rsidRDefault="0001156F"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01156F"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Times New Roman" w:hAnsi="Times New Roman" w:cs="Times New Roman"/>
                <w:sz w:val="20"/>
                <w:szCs w:val="20"/>
              </w:rPr>
              <m:t>η</m:t>
            </m:r>
          </m:e>
          <m:sub>
            <m:r>
              <m:rPr>
                <m:sty m:val="p"/>
              </m:rPr>
              <w:rPr>
                <w:rFonts w:ascii="Cambria Math" w:hAnsi="Times New Roman" w:cs="Times New Roman"/>
                <w:sz w:val="20"/>
                <w:szCs w:val="20"/>
                <w:lang w:val="en-US"/>
              </w:rPr>
              <m:t>conc</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RT</m:t>
            </m:r>
          </m:num>
          <m:den>
            <m:r>
              <m:rPr>
                <m:sty m:val="p"/>
              </m:rPr>
              <w:rPr>
                <w:rFonts w:ascii="Cambria Math" w:hAnsi="Times New Roman" w:cs="Times New Roman"/>
                <w:sz w:val="20"/>
                <w:szCs w:val="20"/>
                <w:lang w:val="en-US"/>
              </w:rPr>
              <m:t>nF</m:t>
            </m:r>
          </m:den>
        </m:f>
        <m:r>
          <m:rPr>
            <m:sty m:val="p"/>
          </m:rPr>
          <w:rPr>
            <w:rFonts w:ascii="Cambria Math" w:hAnsi="Times New Roman" w:cs="Times New Roman"/>
            <w:sz w:val="20"/>
            <w:szCs w:val="20"/>
            <w:lang w:val="en-US"/>
          </w:rPr>
          <m:t>ln</m:t>
        </m:r>
        <m:r>
          <m:rPr>
            <m:sty m:val="p"/>
          </m:rPr>
          <w:rPr>
            <w:rFonts w:ascii="Times New Roman" w:hAnsi="Cambria Math" w:cs="Times New Roman"/>
            <w:sz w:val="20"/>
            <w:szCs w:val="20"/>
            <w:lang w:val="en-US"/>
          </w:rPr>
          <m:t>⁡</m:t>
        </m:r>
        <m:r>
          <m:rPr>
            <m:sty m:val="p"/>
          </m:rPr>
          <w:rPr>
            <w:rFonts w:ascii="Cambria Math" w:hAnsi="Times New Roman" w:cs="Times New Roman"/>
            <w:sz w:val="20"/>
            <w:szCs w:val="20"/>
            <w:lang w:val="en-US"/>
          </w:rPr>
          <m:t>(1</m:t>
        </m:r>
        <m:r>
          <m:rPr>
            <m:sty m:val="p"/>
          </m:rPr>
          <w:rPr>
            <w:rFonts w:ascii="Times New Roman" w:hAnsi="Times New Roman" w:cs="Times New Roman"/>
            <w:sz w:val="20"/>
            <w:szCs w:val="20"/>
            <w:lang w:val="en-US"/>
          </w:rPr>
          <m:t>-</m:t>
        </m:r>
        <m:f>
          <m:fPr>
            <m:ctrlPr>
              <w:rPr>
                <w:rFonts w:ascii="Cambria Math" w:hAnsi="Times New Roman" w:cs="Times New Roman"/>
                <w:sz w:val="20"/>
                <w:szCs w:val="20"/>
                <w:lang w:val="en-US"/>
              </w:rPr>
            </m:ctrlPr>
          </m:fPr>
          <m:num>
            <m:r>
              <m:rPr>
                <m:sty m:val="p"/>
              </m:rPr>
              <w:rPr>
                <w:rFonts w:ascii="Cambria Math" w:hAnsi="Times New Roman" w:cs="Times New Roman"/>
                <w:sz w:val="20"/>
                <w:szCs w:val="20"/>
                <w:lang w:val="en-US"/>
              </w:rPr>
              <m:t>i</m:t>
            </m:r>
          </m:num>
          <m:den>
            <m:sSub>
              <m:sSubPr>
                <m:ctrlPr>
                  <w:rPr>
                    <w:rFonts w:ascii="Cambria Math" w:hAnsi="Times New Roman" w:cs="Times New Roman"/>
                    <w:sz w:val="20"/>
                    <w:szCs w:val="20"/>
                    <w:lang w:val="en-US"/>
                  </w:rPr>
                </m:ctrlPr>
              </m:sSubPr>
              <m:e>
                <m:r>
                  <m:rPr>
                    <m:sty m:val="p"/>
                  </m:rPr>
                  <w:rPr>
                    <w:rFonts w:ascii="Cambria Math" w:hAnsi="Times New Roman" w:cs="Times New Roman"/>
                    <w:sz w:val="20"/>
                    <w:szCs w:val="20"/>
                    <w:lang w:val="en-US"/>
                  </w:rPr>
                  <m:t>i</m:t>
                </m:r>
              </m:e>
              <m:sub>
                <m:r>
                  <m:rPr>
                    <m:sty m:val="p"/>
                  </m:rPr>
                  <w:rPr>
                    <w:rFonts w:ascii="Cambria Math" w:hAnsi="Times New Roman" w:cs="Times New Roman"/>
                    <w:sz w:val="20"/>
                    <w:szCs w:val="20"/>
                    <w:lang w:val="en-US"/>
                  </w:rPr>
                  <m:t>L</m:t>
                </m:r>
              </m:sub>
            </m:sSub>
          </m:den>
        </m:f>
        <m:r>
          <m:rPr>
            <m:sty m:val="p"/>
          </m:rPr>
          <w:rPr>
            <w:rFonts w:ascii="Cambria Math" w:hAnsi="Times New Roman" w:cs="Times New Roman"/>
            <w:sz w:val="20"/>
            <w:szCs w:val="20"/>
            <w:lang w:val="en-US"/>
          </w:rPr>
          <m:t>)</m:t>
        </m:r>
      </m:oMath>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r>
      <w:r w:rsidR="00F630F4" w:rsidRPr="008F23CC">
        <w:rPr>
          <w:rFonts w:ascii="Times New Roman" w:eastAsiaTheme="minorEastAsia" w:hAnsi="Times New Roman" w:cs="Times New Roman"/>
          <w:sz w:val="20"/>
          <w:szCs w:val="20"/>
          <w:lang w:val="en-US"/>
        </w:rPr>
        <w:tab/>
        <w:t>8.</w:t>
      </w:r>
    </w:p>
    <w:p w:rsidR="0001156F" w:rsidRPr="008F23CC" w:rsidRDefault="0001156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156F" w:rsidRPr="008F23CC" w:rsidRDefault="00FB33AE"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(i</w:t>
      </w:r>
      <w:r w:rsidRPr="008F23CC">
        <w:rPr>
          <w:rFonts w:ascii="Times New Roman" w:hAnsi="Times New Roman" w:cs="Times New Roman"/>
          <w:sz w:val="20"/>
          <w:szCs w:val="20"/>
          <w:vertAlign w:val="subscript"/>
          <w:lang w:val="en-US"/>
        </w:rPr>
        <w:t>L</w:t>
      </w:r>
      <w:r w:rsidRPr="008F23CC">
        <w:rPr>
          <w:rFonts w:ascii="Times New Roman" w:hAnsi="Times New Roman" w:cs="Times New Roman"/>
          <w:sz w:val="20"/>
          <w:szCs w:val="20"/>
          <w:lang w:val="en-US"/>
        </w:rPr>
        <w:t xml:space="preserve"> is the limiting or maximum obtainable current due to mass transport) </w:t>
      </w:r>
      <w:r w:rsidR="0001156F" w:rsidRPr="008F23CC">
        <w:rPr>
          <w:rFonts w:ascii="Times New Roman" w:hAnsi="Times New Roman" w:cs="Times New Roman"/>
          <w:sz w:val="20"/>
          <w:szCs w:val="20"/>
          <w:lang w:val="en-US"/>
        </w:rPr>
        <w:t>are present over the entire range of current densities, but become prominent at high currents, where it becomes difficult for homogenous or surface diffusion to provide enough electro-active species to the electrode’s (or the tpb) reaction sites.</w:t>
      </w:r>
      <w:r w:rsidR="00F84350">
        <w:rPr>
          <w:rFonts w:ascii="Times New Roman" w:hAnsi="Times New Roman" w:cs="Times New Roman"/>
          <w:sz w:val="20"/>
          <w:szCs w:val="20"/>
          <w:lang w:val="en-US"/>
        </w:rPr>
        <w:t xml:space="preserve"> </w:t>
      </w:r>
    </w:p>
    <w:p w:rsidR="00BD4D8C" w:rsidRPr="008F23CC" w:rsidRDefault="00BD4D8C"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operational cell voltage is the difference between the potentials of the cathode and the anode (as these potentials are altered due to the corresponding activation and concentration losses of each electrode) minus the ohmic losses, of the various stack components: </w:t>
      </w:r>
    </w:p>
    <w:p w:rsidR="00BD4D8C" w:rsidRPr="008F23CC" w:rsidRDefault="00BD4D8C"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BD4D8C"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V</m:t>
            </m:r>
          </m:e>
          <m:sub>
            <m:r>
              <m:rPr>
                <m:sty m:val="p"/>
              </m:rPr>
              <w:rPr>
                <w:rFonts w:ascii="Cambria Math" w:hAnsi="Times New Roman" w:cs="Times New Roman"/>
                <w:sz w:val="20"/>
                <w:szCs w:val="20"/>
                <w:lang w:val="en-US"/>
              </w:rPr>
              <m:t>cell</m:t>
            </m:r>
          </m:sub>
        </m:sSub>
        <m:r>
          <m:rPr>
            <m:sty m:val="p"/>
          </m:rPr>
          <w:rPr>
            <w:rFonts w:ascii="Cambria Math" w:hAnsi="Times New Roman" w:cs="Times New Roman"/>
            <w:sz w:val="20"/>
            <w:szCs w:val="20"/>
            <w:lang w:val="en-US"/>
          </w:rPr>
          <m:t>=</m:t>
        </m:r>
        <m:d>
          <m:dPr>
            <m:ctrlPr>
              <w:rPr>
                <w:rFonts w:ascii="Cambria Math" w:hAnsi="Times New Roman" w:cs="Times New Roman"/>
                <w:sz w:val="20"/>
                <w:szCs w:val="20"/>
                <w:lang w:val="en-US"/>
              </w:rPr>
            </m:ctrlPr>
          </m:dPr>
          <m:e>
            <m:sSub>
              <m:sSubPr>
                <m:ctrlPr>
                  <w:rPr>
                    <w:rFonts w:ascii="Cambria Math" w:hAnsi="Times New Roman" w:cs="Times New Roman"/>
                    <w:sz w:val="20"/>
                    <w:szCs w:val="20"/>
                    <w:lang w:val="en-US"/>
                  </w:rPr>
                </m:ctrlPr>
              </m:sSubPr>
              <m:e>
                <m:r>
                  <m:rPr>
                    <m:sty m:val="p"/>
                  </m:rPr>
                  <w:rPr>
                    <w:rFonts w:ascii="Cambria Math" w:hAnsi="Times New Roman" w:cs="Times New Roman"/>
                    <w:sz w:val="20"/>
                    <w:szCs w:val="20"/>
                    <w:lang w:val="en-US"/>
                  </w:rPr>
                  <m:t>E</m:t>
                </m:r>
              </m:e>
              <m:sub>
                <m:r>
                  <m:rPr>
                    <m:sty m:val="p"/>
                  </m:rPr>
                  <w:rPr>
                    <w:rFonts w:ascii="Cambria Math" w:hAnsi="Times New Roman" w:cs="Times New Roman"/>
                    <w:sz w:val="20"/>
                    <w:szCs w:val="20"/>
                    <w:lang w:val="en-US"/>
                  </w:rPr>
                  <m:t>cath</m:t>
                </m:r>
              </m:sub>
            </m:sSub>
            <m:r>
              <m:rPr>
                <m:sty m:val="p"/>
              </m:rPr>
              <w:rPr>
                <w:rFonts w:ascii="Times New Roman" w:hAnsi="Times New Roman" w:cs="Times New Roman"/>
                <w:sz w:val="20"/>
                <w:szCs w:val="20"/>
                <w:lang w:val="en-US"/>
              </w:rPr>
              <m:t>-</m:t>
            </m:r>
            <m:d>
              <m:dPr>
                <m:begChr m:val="|"/>
                <m:endChr m:val="|"/>
                <m:ctrlPr>
                  <w:rPr>
                    <w:rFonts w:ascii="Cambria Math" w:hAnsi="Times New Roman" w:cs="Times New Roman"/>
                    <w:sz w:val="20"/>
                    <w:szCs w:val="20"/>
                    <w:lang w:val="en-US"/>
                  </w:rPr>
                </m:ctrlPr>
              </m:dPr>
              <m:e>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η</m:t>
                    </m:r>
                  </m:e>
                  <m:sub>
                    <m:r>
                      <m:rPr>
                        <m:sty m:val="p"/>
                      </m:rPr>
                      <w:rPr>
                        <w:rFonts w:ascii="Cambria Math" w:hAnsi="Times New Roman" w:cs="Times New Roman"/>
                        <w:sz w:val="20"/>
                        <w:szCs w:val="20"/>
                        <w:lang w:val="en-US"/>
                      </w:rPr>
                      <m:t>act</m:t>
                    </m:r>
                  </m:sub>
                  <m:sup>
                    <m:r>
                      <m:rPr>
                        <m:sty m:val="p"/>
                      </m:rPr>
                      <w:rPr>
                        <w:rFonts w:ascii="Cambria Math" w:hAnsi="Times New Roman" w:cs="Times New Roman"/>
                        <w:sz w:val="20"/>
                        <w:szCs w:val="20"/>
                        <w:lang w:val="en-US"/>
                      </w:rPr>
                      <m:t>cath</m:t>
                    </m:r>
                  </m:sup>
                </m:sSubSup>
              </m:e>
            </m:d>
            <m:r>
              <m:rPr>
                <m:sty m:val="p"/>
              </m:rPr>
              <w:rPr>
                <w:rFonts w:ascii="Times New Roman" w:hAnsi="Times New Roman" w:cs="Times New Roman"/>
                <w:sz w:val="20"/>
                <w:szCs w:val="20"/>
                <w:lang w:val="en-US"/>
              </w:rPr>
              <m:t>-</m:t>
            </m:r>
            <m:d>
              <m:dPr>
                <m:begChr m:val="|"/>
                <m:endChr m:val="|"/>
                <m:ctrlPr>
                  <w:rPr>
                    <w:rFonts w:ascii="Cambria Math" w:hAnsi="Times New Roman" w:cs="Times New Roman"/>
                    <w:sz w:val="20"/>
                    <w:szCs w:val="20"/>
                    <w:lang w:val="en-US"/>
                  </w:rPr>
                </m:ctrlPr>
              </m:dPr>
              <m:e>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η</m:t>
                    </m:r>
                  </m:e>
                  <m:sub>
                    <m:r>
                      <m:rPr>
                        <m:sty m:val="p"/>
                      </m:rPr>
                      <w:rPr>
                        <w:rFonts w:ascii="Cambria Math" w:hAnsi="Times New Roman" w:cs="Times New Roman"/>
                        <w:sz w:val="20"/>
                        <w:szCs w:val="20"/>
                        <w:lang w:val="en-US"/>
                      </w:rPr>
                      <m:t>conc</m:t>
                    </m:r>
                  </m:sub>
                  <m:sup>
                    <m:r>
                      <m:rPr>
                        <m:sty m:val="p"/>
                      </m:rPr>
                      <w:rPr>
                        <w:rFonts w:ascii="Cambria Math" w:hAnsi="Times New Roman" w:cs="Times New Roman"/>
                        <w:sz w:val="20"/>
                        <w:szCs w:val="20"/>
                        <w:lang w:val="en-US"/>
                      </w:rPr>
                      <m:t>cath</m:t>
                    </m:r>
                  </m:sup>
                </m:sSubSup>
              </m:e>
            </m:d>
          </m:e>
        </m:d>
        <m:r>
          <m:rPr>
            <m:sty m:val="p"/>
          </m:rPr>
          <w:rPr>
            <w:rFonts w:ascii="Times New Roman" w:hAnsi="Times New Roman" w:cs="Times New Roman"/>
            <w:sz w:val="20"/>
            <w:szCs w:val="20"/>
            <w:lang w:val="en-US"/>
          </w:rPr>
          <m:t>-</m:t>
        </m:r>
        <m:d>
          <m:dPr>
            <m:ctrlPr>
              <w:rPr>
                <w:rFonts w:ascii="Cambria Math" w:hAnsi="Times New Roman" w:cs="Times New Roman"/>
                <w:sz w:val="20"/>
                <w:szCs w:val="20"/>
                <w:lang w:val="en-US"/>
              </w:rPr>
            </m:ctrlPr>
          </m:dPr>
          <m:e>
            <m:sSub>
              <m:sSubPr>
                <m:ctrlPr>
                  <w:rPr>
                    <w:rFonts w:ascii="Cambria Math" w:hAnsi="Times New Roman" w:cs="Times New Roman"/>
                    <w:sz w:val="20"/>
                    <w:szCs w:val="20"/>
                    <w:lang w:val="en-US"/>
                  </w:rPr>
                </m:ctrlPr>
              </m:sSubPr>
              <m:e>
                <m:r>
                  <m:rPr>
                    <m:sty m:val="p"/>
                  </m:rPr>
                  <w:rPr>
                    <w:rFonts w:ascii="Cambria Math" w:hAnsi="Times New Roman" w:cs="Times New Roman"/>
                    <w:sz w:val="20"/>
                    <w:szCs w:val="20"/>
                    <w:lang w:val="en-US"/>
                  </w:rPr>
                  <m:t>E</m:t>
                </m:r>
              </m:e>
              <m:sub>
                <m:r>
                  <m:rPr>
                    <m:sty m:val="p"/>
                  </m:rPr>
                  <w:rPr>
                    <w:rFonts w:ascii="Cambria Math" w:hAnsi="Times New Roman" w:cs="Times New Roman"/>
                    <w:sz w:val="20"/>
                    <w:szCs w:val="20"/>
                    <w:lang w:val="en-US"/>
                  </w:rPr>
                  <m:t>anod</m:t>
                </m:r>
              </m:sub>
            </m:sSub>
            <m:r>
              <m:rPr>
                <m:sty m:val="p"/>
              </m:rPr>
              <w:rPr>
                <w:rFonts w:ascii="Cambria Math" w:hAnsi="Times New Roman" w:cs="Times New Roman"/>
                <w:sz w:val="20"/>
                <w:szCs w:val="20"/>
                <w:lang w:val="en-US"/>
              </w:rPr>
              <m:t>+</m:t>
            </m:r>
            <m:d>
              <m:dPr>
                <m:begChr m:val="|"/>
                <m:endChr m:val="|"/>
                <m:ctrlPr>
                  <w:rPr>
                    <w:rFonts w:ascii="Cambria Math" w:hAnsi="Times New Roman" w:cs="Times New Roman"/>
                    <w:sz w:val="20"/>
                    <w:szCs w:val="20"/>
                    <w:lang w:val="en-US"/>
                  </w:rPr>
                </m:ctrlPr>
              </m:dPr>
              <m:e>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η</m:t>
                    </m:r>
                  </m:e>
                  <m:sub>
                    <m:r>
                      <m:rPr>
                        <m:sty m:val="p"/>
                      </m:rPr>
                      <w:rPr>
                        <w:rFonts w:ascii="Cambria Math" w:hAnsi="Times New Roman" w:cs="Times New Roman"/>
                        <w:sz w:val="20"/>
                        <w:szCs w:val="20"/>
                        <w:lang w:val="en-US"/>
                      </w:rPr>
                      <m:t>act</m:t>
                    </m:r>
                  </m:sub>
                  <m:sup>
                    <m:r>
                      <m:rPr>
                        <m:sty m:val="p"/>
                      </m:rPr>
                      <w:rPr>
                        <w:rFonts w:ascii="Cambria Math" w:hAnsi="Times New Roman" w:cs="Times New Roman"/>
                        <w:sz w:val="20"/>
                        <w:szCs w:val="20"/>
                        <w:lang w:val="en-US"/>
                      </w:rPr>
                      <m:t>anod</m:t>
                    </m:r>
                  </m:sup>
                </m:sSubSup>
              </m:e>
            </m:d>
            <m:r>
              <m:rPr>
                <m:sty m:val="p"/>
              </m:rPr>
              <w:rPr>
                <w:rFonts w:ascii="Cambria Math" w:hAnsi="Times New Roman" w:cs="Times New Roman"/>
                <w:sz w:val="20"/>
                <w:szCs w:val="20"/>
                <w:lang w:val="en-US"/>
              </w:rPr>
              <m:t>+</m:t>
            </m:r>
            <m:d>
              <m:dPr>
                <m:begChr m:val="|"/>
                <m:endChr m:val="|"/>
                <m:ctrlPr>
                  <w:rPr>
                    <w:rFonts w:ascii="Cambria Math" w:hAnsi="Times New Roman" w:cs="Times New Roman"/>
                    <w:sz w:val="20"/>
                    <w:szCs w:val="20"/>
                    <w:lang w:val="en-US"/>
                  </w:rPr>
                </m:ctrlPr>
              </m:dPr>
              <m:e>
                <m:sSubSup>
                  <m:sSubSupPr>
                    <m:ctrlPr>
                      <w:rPr>
                        <w:rFonts w:ascii="Cambria Math" w:hAnsi="Times New Roman" w:cs="Times New Roman"/>
                        <w:sz w:val="20"/>
                        <w:szCs w:val="20"/>
                        <w:lang w:val="en-US"/>
                      </w:rPr>
                    </m:ctrlPr>
                  </m:sSubSupPr>
                  <m:e>
                    <m:r>
                      <m:rPr>
                        <m:sty m:val="p"/>
                      </m:rPr>
                      <w:rPr>
                        <w:rFonts w:ascii="Cambria Math" w:hAnsi="Times New Roman" w:cs="Times New Roman"/>
                        <w:sz w:val="20"/>
                        <w:szCs w:val="20"/>
                        <w:lang w:val="en-US"/>
                      </w:rPr>
                      <m:t>η</m:t>
                    </m:r>
                  </m:e>
                  <m:sub>
                    <m:r>
                      <m:rPr>
                        <m:sty m:val="p"/>
                      </m:rPr>
                      <w:rPr>
                        <w:rFonts w:ascii="Cambria Math" w:hAnsi="Times New Roman" w:cs="Times New Roman"/>
                        <w:sz w:val="20"/>
                        <w:szCs w:val="20"/>
                        <w:lang w:val="en-US"/>
                      </w:rPr>
                      <m:t>conc</m:t>
                    </m:r>
                  </m:sub>
                  <m:sup>
                    <m:r>
                      <m:rPr>
                        <m:sty m:val="p"/>
                      </m:rPr>
                      <w:rPr>
                        <w:rFonts w:ascii="Cambria Math" w:hAnsi="Times New Roman" w:cs="Times New Roman"/>
                        <w:sz w:val="20"/>
                        <w:szCs w:val="20"/>
                        <w:lang w:val="en-US"/>
                      </w:rPr>
                      <m:t>anod</m:t>
                    </m:r>
                  </m:sup>
                </m:sSubSup>
              </m:e>
            </m:d>
          </m:e>
        </m:d>
        <m:r>
          <m:rPr>
            <m:sty m:val="p"/>
          </m:rPr>
          <w:rPr>
            <w:rFonts w:ascii="Times New Roman" w:hAnsi="Times New Roman" w:cs="Times New Roman"/>
            <w:sz w:val="20"/>
            <w:szCs w:val="20"/>
            <w:lang w:val="en-US"/>
          </w:rPr>
          <m:t>-</m:t>
        </m:r>
        <m:r>
          <m:rPr>
            <m:sty m:val="p"/>
          </m:rPr>
          <w:rPr>
            <w:rFonts w:ascii="Cambria Math" w:hAnsi="Times New Roman" w:cs="Times New Roman"/>
            <w:sz w:val="20"/>
            <w:szCs w:val="20"/>
            <w:lang w:val="en-US"/>
          </w:rPr>
          <m:t>iR</m:t>
        </m:r>
      </m:oMath>
      <w:r w:rsidR="00BD4D8C" w:rsidRPr="008F23CC">
        <w:rPr>
          <w:rFonts w:ascii="Times New Roman" w:eastAsiaTheme="minorEastAsia" w:hAnsi="Times New Roman" w:cs="Times New Roman"/>
          <w:sz w:val="20"/>
          <w:szCs w:val="20"/>
          <w:lang w:val="en-US"/>
        </w:rPr>
        <w:tab/>
      </w:r>
      <w:r w:rsidR="00BD4D8C" w:rsidRPr="008F23CC">
        <w:rPr>
          <w:rFonts w:ascii="Times New Roman" w:eastAsiaTheme="minorEastAsia" w:hAnsi="Times New Roman" w:cs="Times New Roman"/>
          <w:sz w:val="20"/>
          <w:szCs w:val="20"/>
          <w:lang w:val="en-US"/>
        </w:rPr>
        <w:tab/>
        <w:t>9.</w:t>
      </w:r>
    </w:p>
    <w:p w:rsidR="00BD4D8C" w:rsidRPr="008F23CC" w:rsidRDefault="00BD4D8C"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BD4D8C" w:rsidRPr="008F23CC" w:rsidRDefault="00BD4D8C"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Current flow in a fuel cell results in a decrease </w:t>
      </w:r>
      <w:r w:rsidR="006142F7">
        <w:rPr>
          <w:rFonts w:ascii="Times New Roman" w:hAnsi="Times New Roman" w:cs="Times New Roman"/>
          <w:sz w:val="20"/>
          <w:szCs w:val="20"/>
          <w:lang w:val="en-US"/>
        </w:rPr>
        <w:t>of</w:t>
      </w:r>
      <w:r w:rsidRPr="008F23CC">
        <w:rPr>
          <w:rFonts w:ascii="Times New Roman" w:hAnsi="Times New Roman" w:cs="Times New Roman"/>
          <w:sz w:val="20"/>
          <w:szCs w:val="20"/>
          <w:lang w:val="en-US"/>
        </w:rPr>
        <w:t xml:space="preserve"> cell voltage, revealing the goal to minimize polarization, since the product of V</w:t>
      </w:r>
      <w:r w:rsidRPr="008F23CC">
        <w:rPr>
          <w:rFonts w:ascii="Times New Roman" w:hAnsi="Times New Roman" w:cs="Times New Roman"/>
          <w:sz w:val="20"/>
          <w:szCs w:val="20"/>
          <w:vertAlign w:val="subscript"/>
          <w:lang w:val="en-US"/>
        </w:rPr>
        <w:t>cell</w:t>
      </w:r>
      <w:r w:rsidRPr="008F23CC">
        <w:rPr>
          <w:rFonts w:ascii="Times New Roman" w:hAnsi="Times New Roman" w:cs="Times New Roman"/>
          <w:sz w:val="20"/>
          <w:szCs w:val="20"/>
          <w:lang w:val="en-US"/>
        </w:rPr>
        <w:t xml:space="preserve"> with the corresponding current</w:t>
      </w:r>
      <w:r w:rsidR="006142F7">
        <w:rPr>
          <w:rFonts w:ascii="Times New Roman" w:hAnsi="Times New Roman" w:cs="Times New Roman"/>
          <w:sz w:val="20"/>
          <w:szCs w:val="20"/>
          <w:lang w:val="en-US"/>
        </w:rPr>
        <w:t xml:space="preserve"> density (</w:t>
      </w:r>
      <w:r w:rsidRPr="008F23CC">
        <w:rPr>
          <w:rFonts w:ascii="Times New Roman" w:hAnsi="Times New Roman" w:cs="Times New Roman"/>
          <w:sz w:val="20"/>
          <w:szCs w:val="20"/>
          <w:lang w:val="en-US"/>
        </w:rPr>
        <w:t>at each point of the I – V</w:t>
      </w:r>
      <w:r w:rsidRPr="006142F7">
        <w:rPr>
          <w:rFonts w:ascii="Times New Roman" w:hAnsi="Times New Roman" w:cs="Times New Roman"/>
          <w:sz w:val="20"/>
          <w:szCs w:val="20"/>
          <w:vertAlign w:val="subscript"/>
          <w:lang w:val="en-US"/>
        </w:rPr>
        <w:t>cell</w:t>
      </w:r>
      <w:r w:rsidRPr="008F23CC">
        <w:rPr>
          <w:rFonts w:ascii="Times New Roman" w:hAnsi="Times New Roman" w:cs="Times New Roman"/>
          <w:sz w:val="20"/>
          <w:szCs w:val="20"/>
          <w:lang w:val="en-US"/>
        </w:rPr>
        <w:t xml:space="preserve"> curve of Figure 2a</w:t>
      </w:r>
      <w:r w:rsidR="006142F7">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gives the specific (per unit of apparent electrode area – power density) electrical power output of the cell. This product tends to be minimized for low and high current densities (when current and operating voltages approach zero, respectively) and exhibits a maximum in between, as shown in Figure 2b. </w:t>
      </w:r>
    </w:p>
    <w:p w:rsidR="0001156F" w:rsidRPr="008F23CC" w:rsidRDefault="00574C4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574C45">
        <w:rPr>
          <w:rFonts w:ascii="Times New Roman" w:hAnsi="Times New Roman" w:cs="Times New Roman"/>
          <w:b/>
          <w:noProof/>
          <w:sz w:val="20"/>
          <w:szCs w:val="20"/>
          <w:lang w:eastAsia="el-GR"/>
        </w:rPr>
        <w:pict>
          <v:shapetype id="_x0000_t202" coordsize="21600,21600" o:spt="202" path="m,l,21600r21600,l21600,xe">
            <v:stroke joinstyle="miter"/>
            <v:path gradientshapeok="t" o:connecttype="rect"/>
          </v:shapetype>
          <v:shape id="_x0000_s1027" type="#_x0000_t202" style="position:absolute;left:0;text-align:left;margin-left:231.1pt;margin-top:12.05pt;width:29.3pt;height:24.05pt;z-index:251661312;mso-width-relative:margin;mso-height-relative:margin" filled="f" stroked="f">
            <v:textbox>
              <w:txbxContent>
                <w:p w:rsidR="00CD2F7F" w:rsidRPr="00F1148A" w:rsidRDefault="00CD2F7F" w:rsidP="00F1148A">
                  <w:pPr>
                    <w:rPr>
                      <w:rFonts w:ascii="Times New Roman" w:hAnsi="Times New Roman" w:cs="Times New Roman"/>
                    </w:rPr>
                  </w:pPr>
                  <w:r w:rsidRPr="00F1148A">
                    <w:rPr>
                      <w:rFonts w:ascii="Times New Roman" w:hAnsi="Times New Roman" w:cs="Times New Roman"/>
                      <w:lang w:val="en-US"/>
                    </w:rPr>
                    <w:t>(b)</w:t>
                  </w:r>
                </w:p>
              </w:txbxContent>
            </v:textbox>
          </v:shape>
        </w:pict>
      </w:r>
      <w:r w:rsidRPr="00574C45">
        <w:rPr>
          <w:rFonts w:ascii="Times New Roman" w:hAnsi="Times New Roman" w:cs="Times New Roman"/>
          <w:noProof/>
          <w:sz w:val="20"/>
          <w:szCs w:val="20"/>
          <w:lang w:val="en-US"/>
        </w:rPr>
        <w:pict>
          <v:shape id="_x0000_s1026" type="#_x0000_t202" style="position:absolute;left:0;text-align:left;margin-left:12.45pt;margin-top:9.55pt;width:29.3pt;height:24.05pt;z-index:251660288;mso-width-relative:margin;mso-height-relative:margin" filled="f" stroked="f">
            <v:textbox>
              <w:txbxContent>
                <w:p w:rsidR="00CD2F7F" w:rsidRPr="00F1148A" w:rsidRDefault="00CD2F7F">
                  <w:pPr>
                    <w:rPr>
                      <w:rFonts w:ascii="Times New Roman" w:hAnsi="Times New Roman" w:cs="Times New Roman"/>
                    </w:rPr>
                  </w:pPr>
                  <w:r w:rsidRPr="00F1148A">
                    <w:rPr>
                      <w:rFonts w:ascii="Times New Roman" w:hAnsi="Times New Roman" w:cs="Times New Roman"/>
                      <w:lang w:val="en-US"/>
                    </w:rPr>
                    <w:t>(a)</w:t>
                  </w:r>
                </w:p>
              </w:txbxContent>
            </v:textbox>
          </v:shape>
        </w:pict>
      </w:r>
    </w:p>
    <w:p w:rsidR="00893035" w:rsidRPr="008F23CC" w:rsidRDefault="00574C4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el-GR"/>
        </w:rPr>
        <w:pict>
          <v:shape id="_x0000_s1028" type="#_x0000_t202" style="position:absolute;left:0;text-align:left;margin-left:321.6pt;margin-top:2.7pt;width:103.9pt;height:17.25pt;z-index:251662336;mso-width-relative:margin;mso-height-relative:margin" filled="f" stroked="f">
            <v:textbox>
              <w:txbxContent>
                <w:p w:rsidR="00CD2F7F" w:rsidRPr="00F1148A" w:rsidRDefault="00CD2F7F" w:rsidP="00F1148A">
                  <w:pPr>
                    <w:rPr>
                      <w:rFonts w:ascii="Times New Roman" w:hAnsi="Times New Roman" w:cs="Times New Roman"/>
                      <w:sz w:val="16"/>
                      <w:szCs w:val="16"/>
                    </w:rPr>
                  </w:pPr>
                  <w:r w:rsidRPr="00F1148A">
                    <w:rPr>
                      <w:rFonts w:ascii="Times New Roman" w:hAnsi="Times New Roman" w:cs="Times New Roman"/>
                      <w:sz w:val="16"/>
                      <w:szCs w:val="16"/>
                      <w:lang w:val="en-US"/>
                    </w:rPr>
                    <w:t>maximum power density</w:t>
                  </w:r>
                </w:p>
              </w:txbxContent>
            </v:textbox>
          </v:shape>
        </w:pict>
      </w:r>
      <w:r w:rsidR="00F1148A" w:rsidRPr="008F23CC">
        <w:rPr>
          <w:rFonts w:ascii="Times New Roman" w:hAnsi="Times New Roman" w:cs="Times New Roman"/>
          <w:noProof/>
          <w:sz w:val="20"/>
          <w:szCs w:val="20"/>
          <w:lang w:eastAsia="el-GR"/>
        </w:rPr>
        <w:drawing>
          <wp:inline distT="0" distB="0" distL="0" distR="0">
            <wp:extent cx="2691130" cy="1630045"/>
            <wp:effectExtent l="0" t="0" r="0" b="0"/>
            <wp:docPr id="25"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2691130" cy="1630045"/>
                    </a:xfrm>
                    <a:prstGeom prst="rect">
                      <a:avLst/>
                    </a:prstGeom>
                    <a:noFill/>
                    <a:ln w="9525">
                      <a:noFill/>
                      <a:miter lim="800000"/>
                      <a:headEnd/>
                      <a:tailEnd/>
                    </a:ln>
                  </pic:spPr>
                </pic:pic>
              </a:graphicData>
            </a:graphic>
          </wp:inline>
        </w:drawing>
      </w:r>
      <w:r w:rsidR="00F1148A" w:rsidRPr="008F23CC">
        <w:rPr>
          <w:rFonts w:ascii="Times New Roman" w:hAnsi="Times New Roman" w:cs="Times New Roman"/>
          <w:sz w:val="20"/>
          <w:szCs w:val="20"/>
          <w:lang w:val="en-US"/>
        </w:rPr>
        <w:tab/>
        <w:t xml:space="preserve"> </w:t>
      </w:r>
      <w:r w:rsidR="00F1148A" w:rsidRPr="008F23CC">
        <w:rPr>
          <w:rFonts w:ascii="Times New Roman" w:hAnsi="Times New Roman" w:cs="Times New Roman"/>
          <w:noProof/>
          <w:sz w:val="20"/>
          <w:szCs w:val="20"/>
          <w:lang w:eastAsia="el-GR"/>
        </w:rPr>
        <w:drawing>
          <wp:inline distT="0" distB="0" distL="0" distR="0">
            <wp:extent cx="2691442" cy="1605049"/>
            <wp:effectExtent l="0" t="0" r="0" b="0"/>
            <wp:docPr id="26"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2691386" cy="1605016"/>
                    </a:xfrm>
                    <a:prstGeom prst="rect">
                      <a:avLst/>
                    </a:prstGeom>
                    <a:noFill/>
                    <a:ln w="9525">
                      <a:noFill/>
                      <a:miter lim="800000"/>
                      <a:headEnd/>
                      <a:tailEnd/>
                    </a:ln>
                  </pic:spPr>
                </pic:pic>
              </a:graphicData>
            </a:graphic>
          </wp:inline>
        </w:drawing>
      </w:r>
    </w:p>
    <w:p w:rsidR="00893035" w:rsidRPr="008F23CC" w:rsidRDefault="0001156F" w:rsidP="003066A0">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Figure </w:t>
      </w:r>
      <w:r w:rsidR="005A0509" w:rsidRPr="008F23CC">
        <w:rPr>
          <w:rFonts w:ascii="Times New Roman" w:hAnsi="Times New Roman" w:cs="Times New Roman"/>
          <w:b/>
          <w:sz w:val="20"/>
          <w:szCs w:val="20"/>
          <w:lang w:val="en-US"/>
        </w:rPr>
        <w:t>3</w:t>
      </w:r>
      <w:r w:rsidRPr="008F23CC">
        <w:rPr>
          <w:rFonts w:ascii="Times New Roman" w:hAnsi="Times New Roman" w:cs="Times New Roman"/>
          <w:sz w:val="20"/>
          <w:szCs w:val="20"/>
          <w:lang w:val="en-US"/>
        </w:rPr>
        <w:t xml:space="preserve"> Ideal and operational cell voltage</w:t>
      </w:r>
      <w:r w:rsidR="00F1148A" w:rsidRPr="008F23CC">
        <w:rPr>
          <w:rFonts w:ascii="Times New Roman" w:hAnsi="Times New Roman" w:cs="Times New Roman"/>
          <w:sz w:val="20"/>
          <w:szCs w:val="20"/>
          <w:lang w:val="en-US"/>
        </w:rPr>
        <w:t xml:space="preserve"> (a), and the dependence of power density on cell voltage (b)</w:t>
      </w:r>
    </w:p>
    <w:p w:rsidR="0001156F" w:rsidRPr="006142F7" w:rsidRDefault="0001156F" w:rsidP="003066A0">
      <w:pPr>
        <w:widowControl w:val="0"/>
        <w:autoSpaceDE w:val="0"/>
        <w:autoSpaceDN w:val="0"/>
        <w:adjustRightInd w:val="0"/>
        <w:spacing w:after="0" w:line="240" w:lineRule="auto"/>
        <w:jc w:val="both"/>
        <w:rPr>
          <w:rFonts w:ascii="Times New Roman" w:hAnsi="Times New Roman" w:cs="Times New Roman"/>
          <w:sz w:val="16"/>
          <w:szCs w:val="16"/>
          <w:lang w:val="en-US"/>
        </w:rPr>
      </w:pPr>
    </w:p>
    <w:p w:rsidR="006E342E" w:rsidRPr="008F23CC" w:rsidRDefault="006E342E"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thermal efficiency of </w:t>
      </w:r>
      <w:r w:rsidR="006142F7">
        <w:rPr>
          <w:rFonts w:ascii="Times New Roman" w:hAnsi="Times New Roman" w:cs="Times New Roman"/>
          <w:sz w:val="20"/>
          <w:szCs w:val="20"/>
          <w:lang w:val="en-US"/>
        </w:rPr>
        <w:t>fuel cells</w:t>
      </w:r>
      <w:r w:rsidRPr="008F23CC">
        <w:rPr>
          <w:rFonts w:ascii="Times New Roman" w:hAnsi="Times New Roman" w:cs="Times New Roman"/>
          <w:sz w:val="20"/>
          <w:szCs w:val="20"/>
          <w:lang w:val="en-US"/>
        </w:rPr>
        <w:t xml:space="preserve"> is defined as the amount of useful energy produced over the consumption of the chemical energy </w:t>
      </w:r>
      <w:r w:rsidR="007914AD" w:rsidRPr="008F23CC">
        <w:rPr>
          <w:rFonts w:ascii="Times New Roman" w:hAnsi="Times New Roman" w:cs="Times New Roman"/>
          <w:sz w:val="20"/>
          <w:szCs w:val="20"/>
          <w:lang w:val="en-US"/>
        </w:rPr>
        <w:t>of the fuel (the amount of energy released in the form of heat, during the total combustion of the fuel, known as higher heating value of the fuel)</w:t>
      </w:r>
      <w:r w:rsidRPr="008F23CC">
        <w:rPr>
          <w:rFonts w:ascii="Times New Roman" w:hAnsi="Times New Roman" w:cs="Times New Roman"/>
          <w:sz w:val="20"/>
          <w:szCs w:val="20"/>
          <w:lang w:val="en-US"/>
        </w:rPr>
        <w:t xml:space="preserve">. </w:t>
      </w:r>
      <w:r w:rsidR="007914AD" w:rsidRPr="008F23CC">
        <w:rPr>
          <w:rFonts w:ascii="Times New Roman" w:hAnsi="Times New Roman" w:cs="Times New Roman"/>
          <w:sz w:val="20"/>
          <w:szCs w:val="20"/>
          <w:lang w:val="en-US"/>
        </w:rPr>
        <w:t>I</w:t>
      </w:r>
      <w:r w:rsidRPr="008F23CC">
        <w:rPr>
          <w:rFonts w:ascii="Times New Roman" w:hAnsi="Times New Roman" w:cs="Times New Roman"/>
          <w:sz w:val="20"/>
          <w:szCs w:val="20"/>
          <w:lang w:val="en-US"/>
        </w:rPr>
        <w:t>deal</w:t>
      </w:r>
      <w:r w:rsidR="007914AD" w:rsidRPr="008F23CC">
        <w:rPr>
          <w:rFonts w:ascii="Times New Roman" w:hAnsi="Times New Roman" w:cs="Times New Roman"/>
          <w:sz w:val="20"/>
          <w:szCs w:val="20"/>
          <w:lang w:val="en-US"/>
        </w:rPr>
        <w:t>ly</w:t>
      </w:r>
      <w:r w:rsidRPr="008F23CC">
        <w:rPr>
          <w:rFonts w:ascii="Times New Roman" w:hAnsi="Times New Roman" w:cs="Times New Roman"/>
          <w:sz w:val="20"/>
          <w:szCs w:val="20"/>
          <w:lang w:val="en-US"/>
        </w:rPr>
        <w:t xml:space="preserve"> </w:t>
      </w:r>
      <w:r w:rsidR="007914AD" w:rsidRPr="008F23CC">
        <w:rPr>
          <w:rFonts w:ascii="Times New Roman" w:hAnsi="Times New Roman" w:cs="Times New Roman"/>
          <w:sz w:val="20"/>
          <w:szCs w:val="20"/>
          <w:lang w:val="en-US"/>
        </w:rPr>
        <w:t>the electrical work produced in a</w:t>
      </w:r>
      <w:r w:rsidRPr="008F23CC">
        <w:rPr>
          <w:rFonts w:ascii="Times New Roman" w:hAnsi="Times New Roman" w:cs="Times New Roman"/>
          <w:sz w:val="20"/>
          <w:szCs w:val="20"/>
          <w:lang w:val="en-US"/>
        </w:rPr>
        <w:t xml:space="preserve"> fuel cell</w:t>
      </w:r>
      <w:r w:rsidR="007914AD" w:rsidRPr="008F23CC">
        <w:rPr>
          <w:rFonts w:ascii="Times New Roman" w:hAnsi="Times New Roman" w:cs="Times New Roman"/>
          <w:sz w:val="20"/>
          <w:szCs w:val="20"/>
          <w:lang w:val="en-US"/>
        </w:rPr>
        <w:t xml:space="preserve"> should be equal to</w:t>
      </w:r>
      <w:r w:rsidRPr="008F23CC">
        <w:rPr>
          <w:rFonts w:ascii="Times New Roman" w:hAnsi="Times New Roman" w:cs="Times New Roman"/>
          <w:sz w:val="20"/>
          <w:szCs w:val="20"/>
          <w:lang w:val="en-US"/>
        </w:rPr>
        <w:t xml:space="preserve"> the change in Gibbs free energy, </w:t>
      </w:r>
      <w:r w:rsidRPr="008F23CC">
        <w:rPr>
          <w:rFonts w:ascii="Times New Roman" w:hAnsi="Times New Roman" w:cs="Times New Roman"/>
          <w:sz w:val="20"/>
          <w:szCs w:val="20"/>
        </w:rPr>
        <w:t>Δ</w:t>
      </w:r>
      <w:r w:rsidRPr="008F23CC">
        <w:rPr>
          <w:rFonts w:ascii="Times New Roman" w:hAnsi="Times New Roman" w:cs="Times New Roman"/>
          <w:sz w:val="20"/>
          <w:szCs w:val="20"/>
          <w:lang w:val="en-US"/>
        </w:rPr>
        <w:t xml:space="preserve">G, of the </w:t>
      </w:r>
      <w:r w:rsidR="007914AD" w:rsidRPr="008F23CC">
        <w:rPr>
          <w:rFonts w:ascii="Times New Roman" w:hAnsi="Times New Roman" w:cs="Times New Roman"/>
          <w:sz w:val="20"/>
          <w:szCs w:val="20"/>
          <w:lang w:val="en-US"/>
        </w:rPr>
        <w:t xml:space="preserve">overall </w:t>
      </w:r>
      <w:r w:rsidR="00607808" w:rsidRPr="008F23CC">
        <w:rPr>
          <w:rFonts w:ascii="Times New Roman" w:hAnsi="Times New Roman" w:cs="Times New Roman"/>
          <w:sz w:val="20"/>
          <w:szCs w:val="20"/>
          <w:lang w:val="en-US"/>
        </w:rPr>
        <w:t>reaction, and</w:t>
      </w:r>
      <w:r w:rsidR="007914AD" w:rsidRPr="008F23CC">
        <w:rPr>
          <w:rFonts w:ascii="Times New Roman" w:hAnsi="Times New Roman" w:cs="Times New Roman"/>
          <w:sz w:val="20"/>
          <w:szCs w:val="20"/>
          <w:lang w:val="en-US"/>
        </w:rPr>
        <w:t xml:space="preserve"> the</w:t>
      </w:r>
      <w:r w:rsidRPr="008F23CC">
        <w:rPr>
          <w:rFonts w:ascii="Times New Roman" w:hAnsi="Times New Roman" w:cs="Times New Roman"/>
          <w:sz w:val="20"/>
          <w:szCs w:val="20"/>
          <w:lang w:val="en-US"/>
        </w:rPr>
        <w:t xml:space="preserve"> ideal efficiency </w:t>
      </w:r>
      <w:r w:rsidR="00607808" w:rsidRPr="008F23CC">
        <w:rPr>
          <w:rFonts w:ascii="Times New Roman" w:hAnsi="Times New Roman" w:cs="Times New Roman"/>
          <w:sz w:val="20"/>
          <w:szCs w:val="20"/>
          <w:lang w:val="en-US"/>
        </w:rPr>
        <w:t>for reversible operation</w:t>
      </w:r>
      <w:r w:rsidRPr="008F23CC">
        <w:rPr>
          <w:rFonts w:ascii="Times New Roman" w:hAnsi="Times New Roman" w:cs="Times New Roman"/>
          <w:sz w:val="20"/>
          <w:szCs w:val="20"/>
          <w:lang w:val="en-US"/>
        </w:rPr>
        <w:t xml:space="preserve"> at standard conditions, </w:t>
      </w:r>
      <w:r w:rsidR="007914AD" w:rsidRPr="008F23CC">
        <w:rPr>
          <w:rFonts w:ascii="Times New Roman" w:hAnsi="Times New Roman" w:cs="Times New Roman"/>
          <w:sz w:val="20"/>
          <w:szCs w:val="20"/>
          <w:lang w:val="en-US"/>
        </w:rPr>
        <w:t>will be</w:t>
      </w:r>
      <w:r w:rsidRPr="008F23CC">
        <w:rPr>
          <w:rFonts w:ascii="Times New Roman" w:hAnsi="Times New Roman" w:cs="Times New Roman"/>
          <w:sz w:val="20"/>
          <w:szCs w:val="20"/>
          <w:lang w:val="en-US"/>
        </w:rPr>
        <w:t>:</w:t>
      </w:r>
    </w:p>
    <w:p w:rsidR="006E342E" w:rsidRPr="008F23CC" w:rsidRDefault="006E342E"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6E342E"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η</m:t>
            </m:r>
          </m:e>
          <m:sub>
            <m:r>
              <m:rPr>
                <m:sty m:val="p"/>
              </m:rPr>
              <w:rPr>
                <w:rFonts w:ascii="Cambria Math" w:hAnsi="Times New Roman" w:cs="Times New Roman"/>
                <w:sz w:val="20"/>
                <w:szCs w:val="20"/>
                <w:lang w:val="en-US"/>
              </w:rPr>
              <m:t>ideal</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p>
              <m:sSupPr>
                <m:ctrlPr>
                  <w:rPr>
                    <w:rFonts w:ascii="Cambria Math" w:hAnsi="Times New Roman" w:cs="Times New Roman"/>
                    <w:sz w:val="20"/>
                    <w:szCs w:val="20"/>
                    <w:lang w:val="en-US"/>
                  </w:rPr>
                </m:ctrlPr>
              </m:sSupPr>
              <m:e>
                <m:r>
                  <m:rPr>
                    <m:sty m:val="p"/>
                  </m:rPr>
                  <w:rPr>
                    <w:rFonts w:ascii="Times New Roman" w:hAnsi="Times New Roman" w:cs="Times New Roman"/>
                    <w:sz w:val="20"/>
                    <w:szCs w:val="20"/>
                    <w:lang w:val="en-US"/>
                  </w:rPr>
                  <m:t>Δ</m:t>
                </m:r>
                <m:r>
                  <m:rPr>
                    <m:sty m:val="p"/>
                  </m:rPr>
                  <w:rPr>
                    <w:rFonts w:ascii="Cambria Math" w:hAnsi="Times New Roman" w:cs="Times New Roman"/>
                    <w:sz w:val="20"/>
                    <w:szCs w:val="20"/>
                    <w:lang w:val="en-US"/>
                  </w:rPr>
                  <m:t>G</m:t>
                </m:r>
              </m:e>
              <m:sup>
                <m:r>
                  <m:rPr>
                    <m:sty m:val="p"/>
                  </m:rPr>
                  <w:rPr>
                    <w:rFonts w:ascii="Cambria Math" w:hAnsi="Times New Roman" w:cs="Times New Roman"/>
                    <w:sz w:val="20"/>
                    <w:szCs w:val="20"/>
                    <w:lang w:val="en-US"/>
                  </w:rPr>
                  <m:t>o</m:t>
                </m:r>
              </m:sup>
            </m:sSup>
          </m:num>
          <m:den>
            <m:sSup>
              <m:sSupPr>
                <m:ctrlPr>
                  <w:rPr>
                    <w:rFonts w:ascii="Cambria Math" w:hAnsi="Times New Roman" w:cs="Times New Roman"/>
                    <w:sz w:val="20"/>
                    <w:szCs w:val="20"/>
                  </w:rPr>
                </m:ctrlPr>
              </m:sSupPr>
              <m:e>
                <m:r>
                  <m:rPr>
                    <m:sty m:val="p"/>
                  </m:rPr>
                  <w:rPr>
                    <w:rFonts w:ascii="Times New Roman" w:hAnsi="Times New Roman" w:cs="Times New Roman"/>
                    <w:sz w:val="20"/>
                    <w:szCs w:val="20"/>
                  </w:rPr>
                  <m:t>Δ</m:t>
                </m:r>
                <m:r>
                  <m:rPr>
                    <m:sty m:val="p"/>
                  </m:rPr>
                  <w:rPr>
                    <w:rFonts w:ascii="Cambria Math" w:hAnsi="Times New Roman" w:cs="Times New Roman"/>
                    <w:sz w:val="20"/>
                    <w:szCs w:val="20"/>
                    <w:lang w:val="en-US"/>
                  </w:rPr>
                  <m:t>H</m:t>
                </m:r>
              </m:e>
              <m:sup>
                <m:r>
                  <m:rPr>
                    <m:sty m:val="p"/>
                  </m:rPr>
                  <w:rPr>
                    <w:rFonts w:ascii="Cambria Math" w:hAnsi="Times New Roman" w:cs="Times New Roman"/>
                    <w:sz w:val="20"/>
                    <w:szCs w:val="20"/>
                    <w:lang w:val="en-US"/>
                  </w:rPr>
                  <m:t>o</m:t>
                </m:r>
              </m:sup>
            </m:sSup>
          </m:den>
        </m:f>
        <m:r>
          <m:rPr>
            <m:sty m:val="p"/>
          </m:rPr>
          <w:rPr>
            <w:rFonts w:ascii="Cambria Math" w:hAnsi="Times New Roman" w:cs="Times New Roman"/>
            <w:sz w:val="20"/>
            <w:szCs w:val="20"/>
            <w:lang w:val="en-US"/>
          </w:rPr>
          <m:t xml:space="preserve">= </m:t>
        </m:r>
        <m:f>
          <m:fPr>
            <m:ctrlPr>
              <w:rPr>
                <w:rFonts w:ascii="Cambria Math" w:hAnsi="Times New Roman" w:cs="Times New Roman"/>
                <w:sz w:val="20"/>
                <w:szCs w:val="20"/>
                <w:lang w:val="en-US"/>
              </w:rPr>
            </m:ctrlPr>
          </m:fPr>
          <m:num>
            <m:sSup>
              <m:sSupPr>
                <m:ctrlPr>
                  <w:rPr>
                    <w:rFonts w:ascii="Cambria Math" w:hAnsi="Times New Roman" w:cs="Times New Roman"/>
                    <w:sz w:val="20"/>
                    <w:szCs w:val="20"/>
                    <w:lang w:val="en-US"/>
                  </w:rPr>
                </m:ctrlPr>
              </m:sSupPr>
              <m:e>
                <m:r>
                  <m:rPr>
                    <m:sty m:val="p"/>
                  </m:rPr>
                  <w:rPr>
                    <w:rFonts w:ascii="Times New Roman" w:hAnsi="Times New Roman" w:cs="Times New Roman"/>
                    <w:sz w:val="20"/>
                    <w:szCs w:val="20"/>
                    <w:lang w:val="en-US"/>
                  </w:rPr>
                  <m:t>-</m:t>
                </m:r>
                <m:r>
                  <m:rPr>
                    <m:sty m:val="p"/>
                  </m:rPr>
                  <w:rPr>
                    <w:rFonts w:ascii="Cambria Math" w:hAnsi="Times New Roman" w:cs="Times New Roman"/>
                    <w:sz w:val="20"/>
                    <w:szCs w:val="20"/>
                    <w:lang w:val="en-US"/>
                  </w:rPr>
                  <m:t>nFE</m:t>
                </m:r>
              </m:e>
              <m:sup>
                <m:r>
                  <m:rPr>
                    <m:sty m:val="p"/>
                  </m:rPr>
                  <w:rPr>
                    <w:rFonts w:ascii="Cambria Math" w:hAnsi="Times New Roman" w:cs="Times New Roman"/>
                    <w:sz w:val="20"/>
                    <w:szCs w:val="20"/>
                    <w:lang w:val="en-US"/>
                  </w:rPr>
                  <m:t>o</m:t>
                </m:r>
              </m:sup>
            </m:sSup>
          </m:num>
          <m:den>
            <m:sSup>
              <m:sSupPr>
                <m:ctrlPr>
                  <w:rPr>
                    <w:rFonts w:ascii="Cambria Math" w:hAnsi="Times New Roman" w:cs="Times New Roman"/>
                    <w:sz w:val="20"/>
                    <w:szCs w:val="20"/>
                  </w:rPr>
                </m:ctrlPr>
              </m:sSupPr>
              <m:e>
                <m:r>
                  <m:rPr>
                    <m:sty m:val="p"/>
                  </m:rPr>
                  <w:rPr>
                    <w:rFonts w:ascii="Times New Roman" w:hAnsi="Times New Roman" w:cs="Times New Roman"/>
                    <w:sz w:val="20"/>
                    <w:szCs w:val="20"/>
                  </w:rPr>
                  <m:t>Δ</m:t>
                </m:r>
                <m:r>
                  <m:rPr>
                    <m:sty m:val="p"/>
                  </m:rPr>
                  <w:rPr>
                    <w:rFonts w:ascii="Cambria Math" w:hAnsi="Times New Roman" w:cs="Times New Roman"/>
                    <w:sz w:val="20"/>
                    <w:szCs w:val="20"/>
                    <w:lang w:val="en-US"/>
                  </w:rPr>
                  <m:t>H</m:t>
                </m:r>
              </m:e>
              <m:sup>
                <m:r>
                  <m:rPr>
                    <m:sty m:val="p"/>
                  </m:rPr>
                  <w:rPr>
                    <w:rFonts w:ascii="Cambria Math" w:hAnsi="Times New Roman" w:cs="Times New Roman"/>
                    <w:sz w:val="20"/>
                    <w:szCs w:val="20"/>
                    <w:lang w:val="en-US"/>
                  </w:rPr>
                  <m:t>o</m:t>
                </m:r>
              </m:sup>
            </m:sSup>
          </m:den>
        </m:f>
      </m:oMath>
      <w:r w:rsidR="006E342E" w:rsidRPr="008F23CC">
        <w:rPr>
          <w:rFonts w:ascii="Times New Roman" w:eastAsiaTheme="minorEastAsia" w:hAnsi="Times New Roman" w:cs="Times New Roman"/>
          <w:sz w:val="20"/>
          <w:szCs w:val="20"/>
          <w:lang w:val="en-US"/>
        </w:rPr>
        <w:t xml:space="preserve"> </w:t>
      </w:r>
      <w:r w:rsidR="006E342E" w:rsidRPr="008F23CC">
        <w:rPr>
          <w:rFonts w:ascii="Times New Roman" w:eastAsiaTheme="minorEastAsia" w:hAnsi="Times New Roman" w:cs="Times New Roman"/>
          <w:sz w:val="20"/>
          <w:szCs w:val="20"/>
          <w:lang w:val="en-US"/>
        </w:rPr>
        <w:tab/>
      </w:r>
      <w:r w:rsidR="006E342E" w:rsidRPr="008F23CC">
        <w:rPr>
          <w:rFonts w:ascii="Times New Roman" w:eastAsiaTheme="minorEastAsia" w:hAnsi="Times New Roman" w:cs="Times New Roman"/>
          <w:sz w:val="20"/>
          <w:szCs w:val="20"/>
          <w:lang w:val="en-US"/>
        </w:rPr>
        <w:tab/>
      </w:r>
      <w:r w:rsidR="006E342E" w:rsidRPr="008F23CC">
        <w:rPr>
          <w:rFonts w:ascii="Times New Roman" w:eastAsiaTheme="minorEastAsia" w:hAnsi="Times New Roman" w:cs="Times New Roman"/>
          <w:sz w:val="20"/>
          <w:szCs w:val="20"/>
          <w:lang w:val="en-US"/>
        </w:rPr>
        <w:tab/>
      </w:r>
      <w:r w:rsidR="006E342E" w:rsidRPr="008F23CC">
        <w:rPr>
          <w:rFonts w:ascii="Times New Roman" w:eastAsiaTheme="minorEastAsia" w:hAnsi="Times New Roman" w:cs="Times New Roman"/>
          <w:sz w:val="20"/>
          <w:szCs w:val="20"/>
          <w:lang w:val="en-US"/>
        </w:rPr>
        <w:tab/>
      </w:r>
      <w:r w:rsidR="006E342E" w:rsidRPr="008F23CC">
        <w:rPr>
          <w:rFonts w:ascii="Times New Roman" w:eastAsiaTheme="minorEastAsia" w:hAnsi="Times New Roman" w:cs="Times New Roman"/>
          <w:sz w:val="20"/>
          <w:szCs w:val="20"/>
          <w:lang w:val="en-US"/>
        </w:rPr>
        <w:tab/>
        <w:t>10.</w:t>
      </w:r>
    </w:p>
    <w:p w:rsidR="006E342E" w:rsidRPr="008F23CC" w:rsidRDefault="006E342E"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6E342E" w:rsidRPr="008F23CC" w:rsidRDefault="00607808"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w:t>
      </w:r>
      <w:r w:rsidR="006E342E" w:rsidRPr="008F23CC">
        <w:rPr>
          <w:rFonts w:ascii="Times New Roman" w:hAnsi="Times New Roman" w:cs="Times New Roman"/>
          <w:sz w:val="20"/>
          <w:szCs w:val="20"/>
          <w:lang w:val="en-US"/>
        </w:rPr>
        <w:t>he thermal</w:t>
      </w:r>
      <w:r w:rsidRPr="008F23CC">
        <w:rPr>
          <w:rFonts w:ascii="Times New Roman" w:hAnsi="Times New Roman" w:cs="Times New Roman"/>
          <w:sz w:val="20"/>
          <w:szCs w:val="20"/>
          <w:lang w:val="en-US"/>
        </w:rPr>
        <w:t xml:space="preserve"> efficiency of an actual </w:t>
      </w:r>
      <w:r w:rsidR="006E342E" w:rsidRPr="008F23CC">
        <w:rPr>
          <w:rFonts w:ascii="Times New Roman" w:hAnsi="Times New Roman" w:cs="Times New Roman"/>
          <w:sz w:val="20"/>
          <w:szCs w:val="20"/>
          <w:lang w:val="en-US"/>
        </w:rPr>
        <w:t xml:space="preserve">fuel cell, operating </w:t>
      </w:r>
      <w:r w:rsidRPr="008F23CC">
        <w:rPr>
          <w:rFonts w:ascii="Times New Roman" w:hAnsi="Times New Roman" w:cs="Times New Roman"/>
          <w:sz w:val="20"/>
          <w:szCs w:val="20"/>
          <w:lang w:val="en-US"/>
        </w:rPr>
        <w:t xml:space="preserve">irreversibly </w:t>
      </w:r>
      <w:r w:rsidR="006E342E" w:rsidRPr="008F23CC">
        <w:rPr>
          <w:rFonts w:ascii="Times New Roman" w:hAnsi="Times New Roman" w:cs="Times New Roman"/>
          <w:sz w:val="20"/>
          <w:szCs w:val="20"/>
          <w:lang w:val="en-US"/>
        </w:rPr>
        <w:t xml:space="preserve">at temperature T, </w:t>
      </w:r>
      <w:r w:rsidR="007914AD" w:rsidRPr="008F23CC">
        <w:rPr>
          <w:rFonts w:ascii="Times New Roman" w:hAnsi="Times New Roman" w:cs="Times New Roman"/>
          <w:sz w:val="20"/>
          <w:szCs w:val="20"/>
          <w:lang w:val="en-US"/>
        </w:rPr>
        <w:t>reduce</w:t>
      </w:r>
      <w:r w:rsidR="006142F7">
        <w:rPr>
          <w:rFonts w:ascii="Times New Roman" w:hAnsi="Times New Roman" w:cs="Times New Roman"/>
          <w:sz w:val="20"/>
          <w:szCs w:val="20"/>
          <w:lang w:val="en-US"/>
        </w:rPr>
        <w:t>s</w:t>
      </w:r>
      <w:r w:rsidR="007914AD" w:rsidRPr="008F23CC">
        <w:rPr>
          <w:rFonts w:ascii="Times New Roman" w:hAnsi="Times New Roman" w:cs="Times New Roman"/>
          <w:sz w:val="20"/>
          <w:szCs w:val="20"/>
          <w:lang w:val="en-US"/>
        </w:rPr>
        <w:t xml:space="preserve"> to</w:t>
      </w:r>
      <w:r w:rsidR="006E342E" w:rsidRPr="008F23CC">
        <w:rPr>
          <w:rFonts w:ascii="Times New Roman" w:hAnsi="Times New Roman" w:cs="Times New Roman"/>
          <w:sz w:val="20"/>
          <w:szCs w:val="20"/>
          <w:lang w:val="en-US"/>
        </w:rPr>
        <w:t>:</w:t>
      </w:r>
    </w:p>
    <w:p w:rsidR="006E342E" w:rsidRPr="008F23CC" w:rsidRDefault="006E342E"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6E342E"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rPr>
              <m:t>η</m:t>
            </m:r>
          </m:e>
          <m:sub>
            <m:r>
              <m:rPr>
                <m:sty m:val="p"/>
              </m:rPr>
              <w:rPr>
                <w:rFonts w:ascii="Cambria Math" w:hAnsi="Times New Roman" w:cs="Times New Roman"/>
                <w:sz w:val="20"/>
                <w:szCs w:val="20"/>
                <w:lang w:val="en-US"/>
              </w:rPr>
              <m:t>th</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lang w:val="en-US"/>
                  </w:rPr>
                </m:ctrlPr>
              </m:sSubPr>
              <m:e>
                <m:r>
                  <m:rPr>
                    <m:sty m:val="p"/>
                  </m:rPr>
                  <w:rPr>
                    <w:rFonts w:ascii="Times New Roman" w:hAnsi="Times New Roman" w:cs="Times New Roman"/>
                    <w:sz w:val="20"/>
                    <w:szCs w:val="20"/>
                    <w:lang w:val="en-US"/>
                  </w:rPr>
                  <m:t>-</m:t>
                </m:r>
                <m:r>
                  <m:rPr>
                    <m:sty m:val="p"/>
                  </m:rPr>
                  <w:rPr>
                    <w:rFonts w:ascii="Cambria Math" w:hAnsi="Times New Roman" w:cs="Times New Roman"/>
                    <w:sz w:val="20"/>
                    <w:szCs w:val="20"/>
                    <w:lang w:val="en-US"/>
                  </w:rPr>
                  <m:t xml:space="preserve"> nFV</m:t>
                </m:r>
              </m:e>
              <m:sub>
                <m:r>
                  <m:rPr>
                    <m:sty m:val="p"/>
                  </m:rPr>
                  <w:rPr>
                    <w:rFonts w:ascii="Cambria Math" w:hAnsi="Times New Roman" w:cs="Times New Roman"/>
                    <w:sz w:val="20"/>
                    <w:szCs w:val="20"/>
                    <w:lang w:val="en-US"/>
                  </w:rPr>
                  <m:t>cell</m:t>
                </m:r>
              </m:sub>
            </m:sSub>
          </m:num>
          <m:den>
            <m:sSup>
              <m:sSupPr>
                <m:ctrlPr>
                  <w:rPr>
                    <w:rFonts w:ascii="Cambria Math" w:hAnsi="Times New Roman" w:cs="Times New Roman"/>
                    <w:sz w:val="20"/>
                    <w:szCs w:val="20"/>
                  </w:rPr>
                </m:ctrlPr>
              </m:sSupPr>
              <m:e>
                <m:r>
                  <m:rPr>
                    <m:sty m:val="p"/>
                  </m:rPr>
                  <w:rPr>
                    <w:rFonts w:ascii="Times New Roman" w:hAnsi="Times New Roman" w:cs="Times New Roman"/>
                    <w:sz w:val="20"/>
                    <w:szCs w:val="20"/>
                  </w:rPr>
                  <m:t>Δ</m:t>
                </m:r>
                <m:r>
                  <m:rPr>
                    <m:sty m:val="p"/>
                  </m:rPr>
                  <w:rPr>
                    <w:rFonts w:ascii="Cambria Math" w:hAnsi="Times New Roman" w:cs="Times New Roman"/>
                    <w:sz w:val="20"/>
                    <w:szCs w:val="20"/>
                    <w:lang w:val="en-US"/>
                  </w:rPr>
                  <m:t>H</m:t>
                </m:r>
              </m:e>
              <m:sup>
                <m:r>
                  <m:rPr>
                    <m:sty m:val="p"/>
                  </m:rPr>
                  <w:rPr>
                    <w:rFonts w:ascii="Cambria Math" w:hAnsi="Times New Roman" w:cs="Times New Roman"/>
                    <w:sz w:val="20"/>
                    <w:szCs w:val="20"/>
                    <w:lang w:val="en-US"/>
                  </w:rPr>
                  <m:t>o</m:t>
                </m:r>
              </m:sup>
            </m:sSup>
          </m:den>
        </m:f>
        <m:r>
          <m:rPr>
            <m:sty m:val="p"/>
          </m:rPr>
          <w:rPr>
            <w:rFonts w:ascii="Cambria Math" w:hAnsi="Times New Roman" w:cs="Times New Roman"/>
            <w:sz w:val="20"/>
            <w:szCs w:val="20"/>
            <w:lang w:val="en-US"/>
          </w:rPr>
          <m:t xml:space="preserve">= </m:t>
        </m:r>
        <m:sSub>
          <m:sSubPr>
            <m:ctrlPr>
              <w:rPr>
                <w:rFonts w:ascii="Cambria Math" w:hAnsi="Times New Roman" w:cs="Times New Roman"/>
                <w:sz w:val="20"/>
                <w:szCs w:val="20"/>
              </w:rPr>
            </m:ctrlPr>
          </m:sSubPr>
          <m:e>
            <m:r>
              <m:rPr>
                <m:sty m:val="p"/>
              </m:rPr>
              <w:rPr>
                <w:rFonts w:ascii="Cambria Math" w:hAnsi="Times New Roman" w:cs="Times New Roman"/>
                <w:sz w:val="20"/>
                <w:szCs w:val="20"/>
              </w:rPr>
              <m:t>η</m:t>
            </m:r>
          </m:e>
          <m:sub>
            <m:r>
              <m:rPr>
                <m:sty m:val="p"/>
              </m:rPr>
              <w:rPr>
                <w:rFonts w:ascii="Cambria Math" w:hAnsi="Times New Roman" w:cs="Times New Roman"/>
                <w:sz w:val="20"/>
                <w:szCs w:val="20"/>
                <w:lang w:val="en-US"/>
              </w:rPr>
              <m:t>ideal</m:t>
            </m:r>
          </m:sub>
        </m:sSub>
        <m:f>
          <m:fPr>
            <m:ctrlPr>
              <w:rPr>
                <w:rFonts w:ascii="Cambria Math" w:hAnsi="Times New Roman" w:cs="Times New Roman"/>
                <w:sz w:val="20"/>
                <w:szCs w:val="20"/>
                <w:lang w:val="en-US"/>
              </w:rPr>
            </m:ctrlPr>
          </m:fPr>
          <m:num>
            <m:sSub>
              <m:sSubPr>
                <m:ctrlPr>
                  <w:rPr>
                    <w:rFonts w:ascii="Cambria Math" w:hAnsi="Times New Roman" w:cs="Times New Roman"/>
                    <w:sz w:val="20"/>
                    <w:szCs w:val="20"/>
                    <w:lang w:val="en-US"/>
                  </w:rPr>
                </m:ctrlPr>
              </m:sSubPr>
              <m:e>
                <m:r>
                  <m:rPr>
                    <m:sty m:val="p"/>
                  </m:rPr>
                  <w:rPr>
                    <w:rFonts w:ascii="Times New Roman" w:hAnsi="Times New Roman" w:cs="Times New Roman"/>
                    <w:sz w:val="20"/>
                    <w:szCs w:val="20"/>
                    <w:lang w:val="en-US"/>
                  </w:rPr>
                  <m:t>-</m:t>
                </m:r>
                <m:r>
                  <m:rPr>
                    <m:sty m:val="p"/>
                  </m:rPr>
                  <w:rPr>
                    <w:rFonts w:ascii="Cambria Math" w:hAnsi="Times New Roman" w:cs="Times New Roman"/>
                    <w:sz w:val="20"/>
                    <w:szCs w:val="20"/>
                    <w:lang w:val="en-US"/>
                  </w:rPr>
                  <m:t xml:space="preserve"> nFV</m:t>
                </m:r>
              </m:e>
              <m:sub>
                <m:r>
                  <m:rPr>
                    <m:sty m:val="p"/>
                  </m:rPr>
                  <w:rPr>
                    <w:rFonts w:ascii="Cambria Math" w:hAnsi="Times New Roman" w:cs="Times New Roman"/>
                    <w:sz w:val="20"/>
                    <w:szCs w:val="20"/>
                    <w:lang w:val="en-US"/>
                  </w:rPr>
                  <m:t>cell</m:t>
                </m:r>
              </m:sub>
            </m:sSub>
          </m:num>
          <m:den>
            <m:sSup>
              <m:sSupPr>
                <m:ctrlPr>
                  <w:rPr>
                    <w:rFonts w:ascii="Cambria Math" w:hAnsi="Times New Roman" w:cs="Times New Roman"/>
                    <w:sz w:val="20"/>
                    <w:szCs w:val="20"/>
                    <w:lang w:val="en-US"/>
                  </w:rPr>
                </m:ctrlPr>
              </m:sSupPr>
              <m:e>
                <m:r>
                  <m:rPr>
                    <m:sty m:val="p"/>
                  </m:rPr>
                  <w:rPr>
                    <w:rFonts w:ascii="Times New Roman" w:hAnsi="Times New Roman" w:cs="Times New Roman"/>
                    <w:sz w:val="20"/>
                    <w:szCs w:val="20"/>
                    <w:lang w:val="en-US"/>
                  </w:rPr>
                  <m:t>-</m:t>
                </m:r>
                <m:r>
                  <m:rPr>
                    <m:sty m:val="p"/>
                  </m:rPr>
                  <w:rPr>
                    <w:rFonts w:ascii="Cambria Math" w:hAnsi="Times New Roman" w:cs="Times New Roman"/>
                    <w:sz w:val="20"/>
                    <w:szCs w:val="20"/>
                    <w:lang w:val="en-US"/>
                  </w:rPr>
                  <m:t>nFE</m:t>
                </m:r>
              </m:e>
              <m:sup>
                <m:r>
                  <m:rPr>
                    <m:sty m:val="p"/>
                  </m:rPr>
                  <w:rPr>
                    <w:rFonts w:ascii="Cambria Math" w:hAnsi="Times New Roman" w:cs="Times New Roman"/>
                    <w:sz w:val="20"/>
                    <w:szCs w:val="20"/>
                    <w:lang w:val="en-US"/>
                  </w:rPr>
                  <m:t>o</m:t>
                </m:r>
              </m:sup>
            </m:sSup>
          </m:den>
        </m:f>
        <m:r>
          <m:rPr>
            <m:sty m:val="p"/>
          </m:rPr>
          <w:rPr>
            <w:rFonts w:ascii="Cambria Math" w:hAnsi="Times New Roman" w:cs="Times New Roman"/>
            <w:sz w:val="20"/>
            <w:szCs w:val="20"/>
            <w:lang w:val="en-US"/>
          </w:rPr>
          <m:t xml:space="preserve">= </m:t>
        </m:r>
        <m:sSub>
          <m:sSubPr>
            <m:ctrlPr>
              <w:rPr>
                <w:rFonts w:ascii="Cambria Math" w:hAnsi="Times New Roman" w:cs="Times New Roman"/>
                <w:sz w:val="20"/>
                <w:szCs w:val="20"/>
              </w:rPr>
            </m:ctrlPr>
          </m:sSubPr>
          <m:e>
            <m:r>
              <m:rPr>
                <m:sty m:val="p"/>
              </m:rPr>
              <w:rPr>
                <w:rFonts w:ascii="Cambria Math" w:hAnsi="Times New Roman" w:cs="Times New Roman"/>
                <w:sz w:val="20"/>
                <w:szCs w:val="20"/>
              </w:rPr>
              <m:t>η</m:t>
            </m:r>
          </m:e>
          <m:sub>
            <m:r>
              <m:rPr>
                <m:sty m:val="p"/>
              </m:rPr>
              <w:rPr>
                <w:rFonts w:ascii="Cambria Math" w:hAnsi="Times New Roman" w:cs="Times New Roman"/>
                <w:sz w:val="20"/>
                <w:szCs w:val="20"/>
                <w:lang w:val="en-US"/>
              </w:rPr>
              <m:t>ideal</m:t>
            </m:r>
          </m:sub>
        </m:sSub>
        <m:f>
          <m:fPr>
            <m:ctrlPr>
              <w:rPr>
                <w:rFonts w:ascii="Cambria Math" w:hAnsi="Times New Roman" w:cs="Times New Roman"/>
                <w:sz w:val="20"/>
                <w:szCs w:val="20"/>
                <w:lang w:val="en-US"/>
              </w:rPr>
            </m:ctrlPr>
          </m:fPr>
          <m:num>
            <m:sSub>
              <m:sSubPr>
                <m:ctrlPr>
                  <w:rPr>
                    <w:rFonts w:ascii="Cambria Math" w:hAnsi="Times New Roman" w:cs="Times New Roman"/>
                    <w:sz w:val="20"/>
                    <w:szCs w:val="20"/>
                    <w:lang w:val="en-US"/>
                  </w:rPr>
                </m:ctrlPr>
              </m:sSubPr>
              <m:e>
                <m:r>
                  <m:rPr>
                    <m:sty m:val="p"/>
                  </m:rPr>
                  <w:rPr>
                    <w:rFonts w:ascii="Cambria Math" w:hAnsi="Times New Roman" w:cs="Times New Roman"/>
                    <w:sz w:val="20"/>
                    <w:szCs w:val="20"/>
                    <w:lang w:val="en-US"/>
                  </w:rPr>
                  <m:t>V</m:t>
                </m:r>
              </m:e>
              <m:sub>
                <m:r>
                  <m:rPr>
                    <m:sty m:val="p"/>
                  </m:rPr>
                  <w:rPr>
                    <w:rFonts w:ascii="Cambria Math" w:hAnsi="Times New Roman" w:cs="Times New Roman"/>
                    <w:sz w:val="20"/>
                    <w:szCs w:val="20"/>
                    <w:lang w:val="en-US"/>
                  </w:rPr>
                  <m:t>cell</m:t>
                </m:r>
              </m:sub>
            </m:sSub>
          </m:num>
          <m:den>
            <m:sSup>
              <m:sSupPr>
                <m:ctrlPr>
                  <w:rPr>
                    <w:rFonts w:ascii="Cambria Math" w:hAnsi="Times New Roman" w:cs="Times New Roman"/>
                    <w:sz w:val="20"/>
                    <w:szCs w:val="20"/>
                    <w:lang w:val="en-US"/>
                  </w:rPr>
                </m:ctrlPr>
              </m:sSupPr>
              <m:e>
                <m:r>
                  <m:rPr>
                    <m:sty m:val="p"/>
                  </m:rPr>
                  <w:rPr>
                    <w:rFonts w:ascii="Cambria Math" w:hAnsi="Times New Roman" w:cs="Times New Roman"/>
                    <w:sz w:val="20"/>
                    <w:szCs w:val="20"/>
                    <w:lang w:val="en-US"/>
                  </w:rPr>
                  <m:t>E</m:t>
                </m:r>
              </m:e>
              <m:sup>
                <m:r>
                  <m:rPr>
                    <m:sty m:val="p"/>
                  </m:rPr>
                  <w:rPr>
                    <w:rFonts w:ascii="Cambria Math" w:hAnsi="Times New Roman" w:cs="Times New Roman"/>
                    <w:sz w:val="20"/>
                    <w:szCs w:val="20"/>
                    <w:lang w:val="en-US"/>
                  </w:rPr>
                  <m:t>o</m:t>
                </m:r>
              </m:sup>
            </m:sSup>
          </m:den>
        </m:f>
      </m:oMath>
      <w:r w:rsidR="006E342E" w:rsidRPr="008F23CC">
        <w:rPr>
          <w:rFonts w:ascii="Times New Roman" w:eastAsiaTheme="minorEastAsia" w:hAnsi="Times New Roman" w:cs="Times New Roman"/>
          <w:sz w:val="20"/>
          <w:szCs w:val="20"/>
          <w:lang w:val="en-US"/>
        </w:rPr>
        <w:t xml:space="preserve">  </w:t>
      </w:r>
      <w:r w:rsidR="006E342E" w:rsidRPr="008F23CC">
        <w:rPr>
          <w:rFonts w:ascii="Times New Roman" w:eastAsiaTheme="minorEastAsia" w:hAnsi="Times New Roman" w:cs="Times New Roman"/>
          <w:sz w:val="20"/>
          <w:szCs w:val="20"/>
          <w:lang w:val="en-US"/>
        </w:rPr>
        <w:tab/>
        <w:t xml:space="preserve"> </w:t>
      </w:r>
      <w:r w:rsidR="006E342E" w:rsidRPr="008F23CC">
        <w:rPr>
          <w:rFonts w:ascii="Times New Roman" w:eastAsiaTheme="minorEastAsia" w:hAnsi="Times New Roman" w:cs="Times New Roman"/>
          <w:sz w:val="20"/>
          <w:szCs w:val="20"/>
          <w:lang w:val="en-US"/>
        </w:rPr>
        <w:tab/>
      </w:r>
      <w:r w:rsidR="006E342E" w:rsidRPr="008F23CC">
        <w:rPr>
          <w:rFonts w:ascii="Times New Roman" w:eastAsiaTheme="minorEastAsia" w:hAnsi="Times New Roman" w:cs="Times New Roman"/>
          <w:sz w:val="20"/>
          <w:szCs w:val="20"/>
          <w:lang w:val="en-US"/>
        </w:rPr>
        <w:tab/>
        <w:t>11.</w:t>
      </w:r>
    </w:p>
    <w:p w:rsidR="006E342E" w:rsidRPr="008F23CC" w:rsidRDefault="006E342E"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6142F7" w:rsidRDefault="00607808" w:rsidP="006142F7">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Thus, the efficiency of an actual fuel cell can be expressed in terms of the ratio of the operating cell voltage to the standard cell voltage. </w:t>
      </w:r>
    </w:p>
    <w:p w:rsidR="00E7143E" w:rsidRPr="008F23CC" w:rsidRDefault="006E342E"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A fuel cell can be operated at different current densities. </w:t>
      </w:r>
      <w:r w:rsidR="00B322C5" w:rsidRPr="008F23CC">
        <w:rPr>
          <w:rFonts w:ascii="Times New Roman" w:hAnsi="Times New Roman" w:cs="Times New Roman"/>
          <w:sz w:val="20"/>
          <w:szCs w:val="20"/>
          <w:lang w:val="en-US"/>
        </w:rPr>
        <w:t>It seems reasonable to operate the fuel cell at its maximum power density. However, d</w:t>
      </w:r>
      <w:r w:rsidRPr="008F23CC">
        <w:rPr>
          <w:rFonts w:ascii="Times New Roman" w:hAnsi="Times New Roman" w:cs="Times New Roman"/>
          <w:sz w:val="20"/>
          <w:szCs w:val="20"/>
          <w:lang w:val="en-US"/>
        </w:rPr>
        <w:t xml:space="preserve">ecreasing current density </w:t>
      </w:r>
      <w:r w:rsidR="00B322C5" w:rsidRPr="008F23CC">
        <w:rPr>
          <w:rFonts w:ascii="Times New Roman" w:hAnsi="Times New Roman" w:cs="Times New Roman"/>
          <w:sz w:val="20"/>
          <w:szCs w:val="20"/>
          <w:lang w:val="en-US"/>
        </w:rPr>
        <w:t xml:space="preserve">below </w:t>
      </w:r>
      <w:r w:rsidR="006142F7">
        <w:rPr>
          <w:rFonts w:ascii="Times New Roman" w:hAnsi="Times New Roman" w:cs="Times New Roman"/>
          <w:sz w:val="20"/>
          <w:szCs w:val="20"/>
          <w:lang w:val="en-US"/>
        </w:rPr>
        <w:t>this</w:t>
      </w:r>
      <w:r w:rsidR="00B322C5" w:rsidRPr="008F23CC">
        <w:rPr>
          <w:rFonts w:ascii="Times New Roman" w:hAnsi="Times New Roman" w:cs="Times New Roman"/>
          <w:sz w:val="20"/>
          <w:szCs w:val="20"/>
          <w:lang w:val="en-US"/>
        </w:rPr>
        <w:t xml:space="preserve"> value, </w:t>
      </w:r>
      <w:r w:rsidR="00254C83" w:rsidRPr="008F23CC">
        <w:rPr>
          <w:rFonts w:ascii="Times New Roman" w:hAnsi="Times New Roman" w:cs="Times New Roman"/>
          <w:sz w:val="20"/>
          <w:szCs w:val="20"/>
          <w:lang w:val="en-US"/>
        </w:rPr>
        <w:t>brings</w:t>
      </w:r>
      <w:r w:rsidRPr="008F23CC">
        <w:rPr>
          <w:rFonts w:ascii="Times New Roman" w:hAnsi="Times New Roman" w:cs="Times New Roman"/>
          <w:sz w:val="20"/>
          <w:szCs w:val="20"/>
          <w:lang w:val="en-US"/>
        </w:rPr>
        <w:t xml:space="preserve"> </w:t>
      </w:r>
      <w:r w:rsidR="00B322C5"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cell voltage </w:t>
      </w:r>
      <w:r w:rsidR="00254C83" w:rsidRPr="008F23CC">
        <w:rPr>
          <w:rFonts w:ascii="Times New Roman" w:hAnsi="Times New Roman" w:cs="Times New Roman"/>
          <w:sz w:val="20"/>
          <w:szCs w:val="20"/>
          <w:lang w:val="en-US"/>
        </w:rPr>
        <w:t xml:space="preserve">closer to its reversible </w:t>
      </w:r>
      <w:r w:rsidR="006142F7">
        <w:rPr>
          <w:rFonts w:ascii="Times New Roman" w:hAnsi="Times New Roman" w:cs="Times New Roman"/>
          <w:sz w:val="20"/>
          <w:szCs w:val="20"/>
          <w:lang w:val="en-US"/>
        </w:rPr>
        <w:t xml:space="preserve">one, </w:t>
      </w:r>
      <w:r w:rsidRPr="008F23CC">
        <w:rPr>
          <w:rFonts w:ascii="Times New Roman" w:hAnsi="Times New Roman" w:cs="Times New Roman"/>
          <w:sz w:val="20"/>
          <w:szCs w:val="20"/>
          <w:lang w:val="en-US"/>
        </w:rPr>
        <w:t xml:space="preserve">and </w:t>
      </w:r>
      <w:r w:rsidR="00254C83" w:rsidRPr="008F23CC">
        <w:rPr>
          <w:rFonts w:ascii="Times New Roman" w:hAnsi="Times New Roman" w:cs="Times New Roman"/>
          <w:sz w:val="20"/>
          <w:szCs w:val="20"/>
          <w:lang w:val="en-US"/>
        </w:rPr>
        <w:t>increase</w:t>
      </w:r>
      <w:r w:rsidR="00B322C5" w:rsidRPr="008F23CC">
        <w:rPr>
          <w:rFonts w:ascii="Times New Roman" w:hAnsi="Times New Roman" w:cs="Times New Roman"/>
          <w:sz w:val="20"/>
          <w:szCs w:val="20"/>
          <w:lang w:val="en-US"/>
        </w:rPr>
        <w:t>s</w:t>
      </w:r>
      <w:r w:rsidR="00254C83"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the efficiency</w:t>
      </w:r>
      <w:r w:rsidR="00BD4F35" w:rsidRPr="008F23CC">
        <w:rPr>
          <w:rFonts w:ascii="Times New Roman" w:hAnsi="Times New Roman" w:cs="Times New Roman"/>
          <w:sz w:val="20"/>
          <w:szCs w:val="20"/>
          <w:lang w:val="en-US"/>
        </w:rPr>
        <w:t xml:space="preserve">. On the other hand, the </w:t>
      </w:r>
      <w:r w:rsidRPr="008F23CC">
        <w:rPr>
          <w:rFonts w:ascii="Times New Roman" w:hAnsi="Times New Roman" w:cs="Times New Roman"/>
          <w:sz w:val="20"/>
          <w:szCs w:val="20"/>
          <w:lang w:val="en-US"/>
        </w:rPr>
        <w:t>active cell area must</w:t>
      </w:r>
      <w:r w:rsidR="00436711" w:rsidRPr="008F23CC">
        <w:rPr>
          <w:rFonts w:ascii="Times New Roman" w:hAnsi="Times New Roman" w:cs="Times New Roman"/>
          <w:sz w:val="20"/>
          <w:szCs w:val="20"/>
          <w:lang w:val="en-US"/>
        </w:rPr>
        <w:t xml:space="preserve"> also </w:t>
      </w:r>
      <w:r w:rsidRPr="008F23CC">
        <w:rPr>
          <w:rFonts w:ascii="Times New Roman" w:hAnsi="Times New Roman" w:cs="Times New Roman"/>
          <w:sz w:val="20"/>
          <w:szCs w:val="20"/>
          <w:lang w:val="en-US"/>
        </w:rPr>
        <w:t xml:space="preserve">be increased </w:t>
      </w:r>
      <w:r w:rsidR="00254C83" w:rsidRPr="008F23CC">
        <w:rPr>
          <w:rFonts w:ascii="Times New Roman" w:hAnsi="Times New Roman" w:cs="Times New Roman"/>
          <w:sz w:val="20"/>
          <w:szCs w:val="20"/>
          <w:lang w:val="en-US"/>
        </w:rPr>
        <w:t xml:space="preserve">in order </w:t>
      </w:r>
      <w:r w:rsidRPr="008F23CC">
        <w:rPr>
          <w:rFonts w:ascii="Times New Roman" w:hAnsi="Times New Roman" w:cs="Times New Roman"/>
          <w:sz w:val="20"/>
          <w:szCs w:val="20"/>
          <w:lang w:val="en-US"/>
        </w:rPr>
        <w:t xml:space="preserve">to obtain </w:t>
      </w:r>
      <w:r w:rsidR="00254C83" w:rsidRPr="008F23CC">
        <w:rPr>
          <w:rFonts w:ascii="Times New Roman" w:hAnsi="Times New Roman" w:cs="Times New Roman"/>
          <w:sz w:val="20"/>
          <w:szCs w:val="20"/>
          <w:lang w:val="en-US"/>
        </w:rPr>
        <w:t>a given</w:t>
      </w:r>
      <w:r w:rsidRPr="008F23CC">
        <w:rPr>
          <w:rFonts w:ascii="Times New Roman" w:hAnsi="Times New Roman" w:cs="Times New Roman"/>
          <w:sz w:val="20"/>
          <w:szCs w:val="20"/>
          <w:lang w:val="en-US"/>
        </w:rPr>
        <w:t xml:space="preserve"> power</w:t>
      </w:r>
      <w:r w:rsidR="00254C83" w:rsidRPr="008F23CC">
        <w:rPr>
          <w:rFonts w:ascii="Times New Roman" w:hAnsi="Times New Roman" w:cs="Times New Roman"/>
          <w:sz w:val="20"/>
          <w:szCs w:val="20"/>
          <w:lang w:val="en-US"/>
        </w:rPr>
        <w:t xml:space="preserve"> output</w:t>
      </w:r>
      <w:r w:rsidR="00B322C5" w:rsidRPr="008F23CC">
        <w:rPr>
          <w:rFonts w:ascii="Times New Roman" w:hAnsi="Times New Roman" w:cs="Times New Roman"/>
          <w:sz w:val="20"/>
          <w:szCs w:val="20"/>
          <w:lang w:val="en-US"/>
        </w:rPr>
        <w:t>,  which means that, high efficiencies increase the capital cost, for a certain power level, although it decreases fuel requirements.</w:t>
      </w:r>
      <w:r w:rsidRPr="008F23CC">
        <w:rPr>
          <w:rFonts w:ascii="Times New Roman" w:hAnsi="Times New Roman" w:cs="Times New Roman"/>
          <w:sz w:val="20"/>
          <w:szCs w:val="20"/>
          <w:lang w:val="en-US"/>
        </w:rPr>
        <w:t xml:space="preserve"> </w:t>
      </w:r>
      <w:r w:rsidR="00B322C5" w:rsidRPr="008F23CC">
        <w:rPr>
          <w:rFonts w:ascii="Times New Roman" w:hAnsi="Times New Roman" w:cs="Times New Roman"/>
          <w:sz w:val="20"/>
          <w:szCs w:val="20"/>
          <w:lang w:val="en-US"/>
        </w:rPr>
        <w:t xml:space="preserve">Balancing between the above, it is </w:t>
      </w:r>
      <w:r w:rsidR="00B322C5" w:rsidRPr="008F23CC">
        <w:rPr>
          <w:rFonts w:ascii="Times New Roman" w:hAnsi="Times New Roman" w:cs="Times New Roman"/>
          <w:sz w:val="20"/>
          <w:szCs w:val="20"/>
          <w:lang w:val="en-US"/>
        </w:rPr>
        <w:lastRenderedPageBreak/>
        <w:t xml:space="preserve">usual practice to operate </w:t>
      </w:r>
      <w:r w:rsidR="006142F7">
        <w:rPr>
          <w:rFonts w:ascii="Times New Roman" w:hAnsi="Times New Roman" w:cs="Times New Roman"/>
          <w:sz w:val="20"/>
          <w:szCs w:val="20"/>
          <w:lang w:val="en-US"/>
        </w:rPr>
        <w:t>fuel</w:t>
      </w:r>
      <w:r w:rsidR="00B322C5" w:rsidRPr="008F23CC">
        <w:rPr>
          <w:rFonts w:ascii="Times New Roman" w:hAnsi="Times New Roman" w:cs="Times New Roman"/>
          <w:sz w:val="20"/>
          <w:szCs w:val="20"/>
          <w:lang w:val="en-US"/>
        </w:rPr>
        <w:t xml:space="preserve"> cell</w:t>
      </w:r>
      <w:r w:rsidR="006142F7">
        <w:rPr>
          <w:rFonts w:ascii="Times New Roman" w:hAnsi="Times New Roman" w:cs="Times New Roman"/>
          <w:sz w:val="20"/>
          <w:szCs w:val="20"/>
          <w:lang w:val="en-US"/>
        </w:rPr>
        <w:t>s</w:t>
      </w:r>
      <w:r w:rsidR="00B322C5" w:rsidRPr="008F23CC">
        <w:rPr>
          <w:rFonts w:ascii="Times New Roman" w:hAnsi="Times New Roman" w:cs="Times New Roman"/>
          <w:sz w:val="20"/>
          <w:szCs w:val="20"/>
          <w:lang w:val="en-US"/>
        </w:rPr>
        <w:t xml:space="preserve"> to the left side of its power peak and at a point that yields as a compromise between low operating cost and low capital cost.</w:t>
      </w:r>
      <w:r w:rsidR="008D17C9" w:rsidRPr="008F23CC">
        <w:rPr>
          <w:rFonts w:ascii="Times New Roman" w:hAnsi="Times New Roman" w:cs="Times New Roman"/>
          <w:sz w:val="20"/>
          <w:szCs w:val="20"/>
          <w:lang w:val="en-US"/>
        </w:rPr>
        <w:t xml:space="preserve"> It is interesting to observe that this situation provides fuel cells with the unique, among other energy conversion technologies, benefit of increased efficiency at part load conditions</w:t>
      </w:r>
      <w:r w:rsidR="00436711" w:rsidRPr="008F23CC">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w:t>
      </w:r>
      <w:r w:rsidR="00436711" w:rsidRPr="008F23CC">
        <w:rPr>
          <w:rFonts w:ascii="Times New Roman" w:hAnsi="Times New Roman" w:cs="Times New Roman"/>
          <w:sz w:val="20"/>
          <w:szCs w:val="20"/>
          <w:lang w:val="en-US"/>
        </w:rPr>
        <w:t>]</w:t>
      </w:r>
      <w:r w:rsidR="008D17C9" w:rsidRPr="008F23CC">
        <w:rPr>
          <w:rFonts w:ascii="Times New Roman" w:hAnsi="Times New Roman" w:cs="Times New Roman"/>
          <w:sz w:val="20"/>
          <w:szCs w:val="20"/>
          <w:lang w:val="en-US"/>
        </w:rPr>
        <w:t xml:space="preserve">. </w:t>
      </w:r>
    </w:p>
    <w:p w:rsidR="00436711" w:rsidRDefault="00607808"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For a given </w:t>
      </w:r>
      <w:r w:rsidR="00254C83" w:rsidRPr="008F23CC">
        <w:rPr>
          <w:rFonts w:ascii="Times New Roman" w:hAnsi="Times New Roman" w:cs="Times New Roman"/>
          <w:sz w:val="20"/>
          <w:szCs w:val="20"/>
          <w:lang w:val="en-US"/>
        </w:rPr>
        <w:t xml:space="preserve">fuel </w:t>
      </w:r>
      <w:r w:rsidRPr="008F23CC">
        <w:rPr>
          <w:rFonts w:ascii="Times New Roman" w:hAnsi="Times New Roman" w:cs="Times New Roman"/>
          <w:sz w:val="20"/>
          <w:szCs w:val="20"/>
          <w:lang w:val="en-US"/>
        </w:rPr>
        <w:t xml:space="preserve">cell, it is possible to improve performance by </w:t>
      </w:r>
      <w:r w:rsidR="00254C83" w:rsidRPr="008F23CC">
        <w:rPr>
          <w:rFonts w:ascii="Times New Roman" w:hAnsi="Times New Roman" w:cs="Times New Roman"/>
          <w:sz w:val="20"/>
          <w:szCs w:val="20"/>
          <w:lang w:val="en-US"/>
        </w:rPr>
        <w:t>adjusting</w:t>
      </w:r>
      <w:r w:rsidRPr="008F23CC">
        <w:rPr>
          <w:rFonts w:ascii="Times New Roman" w:hAnsi="Times New Roman" w:cs="Times New Roman"/>
          <w:sz w:val="20"/>
          <w:szCs w:val="20"/>
          <w:lang w:val="en-US"/>
        </w:rPr>
        <w:t xml:space="preserve"> </w:t>
      </w:r>
      <w:r w:rsidR="00254C83" w:rsidRPr="008F23CC">
        <w:rPr>
          <w:rFonts w:ascii="Times New Roman" w:hAnsi="Times New Roman" w:cs="Times New Roman"/>
          <w:sz w:val="20"/>
          <w:szCs w:val="20"/>
          <w:lang w:val="en-US"/>
        </w:rPr>
        <w:t>temperature, pressure, gas com</w:t>
      </w:r>
      <w:r w:rsidR="00BD4F35" w:rsidRPr="008F23CC">
        <w:rPr>
          <w:rFonts w:ascii="Times New Roman" w:hAnsi="Times New Roman" w:cs="Times New Roman"/>
          <w:sz w:val="20"/>
          <w:szCs w:val="20"/>
          <w:lang w:val="en-US"/>
        </w:rPr>
        <w:t>position, reactant utilizations</w:t>
      </w:r>
      <w:r w:rsidR="00DE2690" w:rsidRPr="008F23CC">
        <w:rPr>
          <w:rFonts w:ascii="Times New Roman" w:hAnsi="Times New Roman" w:cs="Times New Roman"/>
          <w:sz w:val="20"/>
          <w:szCs w:val="20"/>
          <w:lang w:val="en-US"/>
        </w:rPr>
        <w:t xml:space="preserve">, </w:t>
      </w:r>
      <w:r w:rsidR="00254C83" w:rsidRPr="008F23CC">
        <w:rPr>
          <w:rFonts w:ascii="Times New Roman" w:hAnsi="Times New Roman" w:cs="Times New Roman"/>
          <w:sz w:val="20"/>
          <w:szCs w:val="20"/>
          <w:lang w:val="en-US"/>
        </w:rPr>
        <w:t>current density</w:t>
      </w:r>
      <w:r w:rsidR="00DE2690" w:rsidRPr="008F23CC">
        <w:rPr>
          <w:rFonts w:ascii="Times New Roman" w:hAnsi="Times New Roman" w:cs="Times New Roman"/>
          <w:sz w:val="20"/>
          <w:szCs w:val="20"/>
          <w:lang w:val="en-US"/>
        </w:rPr>
        <w:t xml:space="preserve"> and/or other parameters</w:t>
      </w:r>
      <w:r w:rsidR="00BD4F35" w:rsidRPr="008F23CC">
        <w:rPr>
          <w:rFonts w:ascii="Times New Roman" w:hAnsi="Times New Roman" w:cs="Times New Roman"/>
          <w:sz w:val="20"/>
          <w:szCs w:val="20"/>
          <w:lang w:val="en-US"/>
        </w:rPr>
        <w:t xml:space="preserve"> which</w:t>
      </w:r>
      <w:r w:rsidR="00254C83" w:rsidRPr="008F23CC">
        <w:rPr>
          <w:rFonts w:ascii="Times New Roman" w:hAnsi="Times New Roman" w:cs="Times New Roman"/>
          <w:sz w:val="20"/>
          <w:szCs w:val="20"/>
          <w:lang w:val="en-US"/>
        </w:rPr>
        <w:t xml:space="preserve"> influence the ideal cell potential and the magnitude of the voltage losses</w:t>
      </w:r>
      <w:r w:rsidRPr="008F23CC">
        <w:rPr>
          <w:rFonts w:ascii="Times New Roman" w:hAnsi="Times New Roman" w:cs="Times New Roman"/>
          <w:sz w:val="20"/>
          <w:szCs w:val="20"/>
          <w:lang w:val="en-US"/>
        </w:rPr>
        <w:t>.</w:t>
      </w:r>
      <w:r w:rsidR="00B322C5" w:rsidRPr="008F23CC">
        <w:rPr>
          <w:rFonts w:ascii="Times New Roman" w:hAnsi="Times New Roman" w:cs="Times New Roman"/>
          <w:sz w:val="20"/>
          <w:szCs w:val="20"/>
          <w:lang w:val="en-US"/>
        </w:rPr>
        <w:t xml:space="preserve"> </w:t>
      </w:r>
      <w:r w:rsidR="00DE2690" w:rsidRPr="008F23CC">
        <w:rPr>
          <w:rFonts w:ascii="Times New Roman" w:hAnsi="Times New Roman" w:cs="Times New Roman"/>
          <w:sz w:val="20"/>
          <w:szCs w:val="20"/>
          <w:lang w:val="en-US"/>
        </w:rPr>
        <w:t xml:space="preserve">The selection of these parameters starts with defining </w:t>
      </w:r>
      <w:r w:rsidR="00436711" w:rsidRPr="008F23CC">
        <w:rPr>
          <w:rFonts w:ascii="Times New Roman" w:hAnsi="Times New Roman" w:cs="Times New Roman"/>
          <w:sz w:val="20"/>
          <w:szCs w:val="20"/>
          <w:lang w:val="en-US"/>
        </w:rPr>
        <w:t>the power level requirements for a specific fuel cell application</w:t>
      </w:r>
      <w:r w:rsidR="00DE2690" w:rsidRPr="008F23CC">
        <w:rPr>
          <w:rFonts w:ascii="Times New Roman" w:hAnsi="Times New Roman" w:cs="Times New Roman"/>
          <w:sz w:val="20"/>
          <w:szCs w:val="20"/>
          <w:lang w:val="en-US"/>
        </w:rPr>
        <w:t>. Flowingly, the voltage, and current requirements of the fuel cell stack and individual cells need to be determined</w:t>
      </w:r>
      <w:r w:rsidR="00436711" w:rsidRPr="008F23CC">
        <w:rPr>
          <w:rFonts w:ascii="Times New Roman" w:hAnsi="Times New Roman" w:cs="Times New Roman"/>
          <w:sz w:val="20"/>
          <w:szCs w:val="20"/>
          <w:lang w:val="en-US"/>
        </w:rPr>
        <w:t>, at certain operating temperature and (in some cases) pressure</w:t>
      </w:r>
      <w:r w:rsidR="00DE2690" w:rsidRPr="008F23CC">
        <w:rPr>
          <w:rFonts w:ascii="Times New Roman" w:hAnsi="Times New Roman" w:cs="Times New Roman"/>
          <w:sz w:val="20"/>
          <w:szCs w:val="20"/>
          <w:lang w:val="en-US"/>
        </w:rPr>
        <w:t xml:space="preserve">. Starting with temperature, its effect on the operational voltage is quite different from </w:t>
      </w:r>
      <w:r w:rsidR="002A02E7">
        <w:rPr>
          <w:rFonts w:ascii="Times New Roman" w:hAnsi="Times New Roman" w:cs="Times New Roman"/>
          <w:sz w:val="20"/>
          <w:szCs w:val="20"/>
          <w:lang w:val="en-US"/>
        </w:rPr>
        <w:t>its</w:t>
      </w:r>
      <w:r w:rsidR="00DE2690" w:rsidRPr="008F23CC">
        <w:rPr>
          <w:rFonts w:ascii="Times New Roman" w:hAnsi="Times New Roman" w:cs="Times New Roman"/>
          <w:sz w:val="20"/>
          <w:szCs w:val="20"/>
          <w:lang w:val="en-US"/>
        </w:rPr>
        <w:t xml:space="preserve"> effect on the reversible potential. The latest drops with temperature, while the operating voltage increases, due to the decrease of polarization losses (at higher temperatures the reaction and mass transfer are accelerated, and, in most cases, the ionic conductivity of the electrolyte – the main source of IR losses – increase), resulting in an overall improvement of the performance of the cell. </w:t>
      </w:r>
      <w:r w:rsidR="00E83FC7" w:rsidRPr="008F23CC">
        <w:rPr>
          <w:rFonts w:ascii="Times New Roman" w:hAnsi="Times New Roman" w:cs="Times New Roman"/>
          <w:sz w:val="20"/>
          <w:szCs w:val="20"/>
          <w:lang w:val="en-US"/>
        </w:rPr>
        <w:t>Furthermore, the increase of operating pressure increase</w:t>
      </w:r>
      <w:r w:rsidR="002A02E7">
        <w:rPr>
          <w:rFonts w:ascii="Times New Roman" w:hAnsi="Times New Roman" w:cs="Times New Roman"/>
          <w:sz w:val="20"/>
          <w:szCs w:val="20"/>
          <w:lang w:val="en-US"/>
        </w:rPr>
        <w:t>s</w:t>
      </w:r>
      <w:r w:rsidR="00E83FC7" w:rsidRPr="008F23CC">
        <w:rPr>
          <w:rFonts w:ascii="Times New Roman" w:hAnsi="Times New Roman" w:cs="Times New Roman"/>
          <w:sz w:val="20"/>
          <w:szCs w:val="20"/>
          <w:lang w:val="en-US"/>
        </w:rPr>
        <w:t xml:space="preserve"> the partial pressures of reactants and consequently the reaction and mass transfer rates, improving performance and efficiency. However, </w:t>
      </w:r>
      <w:r w:rsidR="002A02E7">
        <w:rPr>
          <w:rFonts w:ascii="Times New Roman" w:hAnsi="Times New Roman" w:cs="Times New Roman"/>
          <w:sz w:val="20"/>
          <w:szCs w:val="20"/>
          <w:lang w:val="en-US"/>
        </w:rPr>
        <w:t>pressure</w:t>
      </w:r>
      <w:r w:rsidR="00E83FC7" w:rsidRPr="008F23CC">
        <w:rPr>
          <w:rFonts w:ascii="Times New Roman" w:hAnsi="Times New Roman" w:cs="Times New Roman"/>
          <w:sz w:val="20"/>
          <w:szCs w:val="20"/>
          <w:lang w:val="en-US"/>
        </w:rPr>
        <w:t xml:space="preserve"> increases power needs to compress reactants, and capital costs. </w:t>
      </w:r>
    </w:p>
    <w:p w:rsidR="00F05849" w:rsidRPr="008F23CC" w:rsidRDefault="00F05849"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Reactant</w:t>
      </w:r>
      <w:r w:rsidR="00014F31"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utilization and gas composition </w:t>
      </w:r>
      <w:r w:rsidR="00014F31" w:rsidRPr="008F23CC">
        <w:rPr>
          <w:rFonts w:ascii="Times New Roman" w:hAnsi="Times New Roman" w:cs="Times New Roman"/>
          <w:sz w:val="20"/>
          <w:szCs w:val="20"/>
          <w:lang w:val="en-US"/>
        </w:rPr>
        <w:t>also</w:t>
      </w:r>
      <w:r w:rsidRPr="008F23CC">
        <w:rPr>
          <w:rFonts w:ascii="Times New Roman" w:hAnsi="Times New Roman" w:cs="Times New Roman"/>
          <w:sz w:val="20"/>
          <w:szCs w:val="20"/>
          <w:lang w:val="en-US"/>
        </w:rPr>
        <w:t xml:space="preserve"> </w:t>
      </w:r>
      <w:r w:rsidR="00436711" w:rsidRPr="008F23CC">
        <w:rPr>
          <w:rFonts w:ascii="Times New Roman" w:hAnsi="Times New Roman" w:cs="Times New Roman"/>
          <w:sz w:val="20"/>
          <w:szCs w:val="20"/>
          <w:lang w:val="en-US"/>
        </w:rPr>
        <w:t>affect</w:t>
      </w:r>
      <w:r w:rsidR="00014F31" w:rsidRPr="008F23CC">
        <w:rPr>
          <w:rFonts w:ascii="Times New Roman" w:hAnsi="Times New Roman" w:cs="Times New Roman"/>
          <w:sz w:val="20"/>
          <w:szCs w:val="20"/>
          <w:lang w:val="en-US"/>
        </w:rPr>
        <w:t xml:space="preserve"> the</w:t>
      </w:r>
      <w:r w:rsidRPr="008F23CC">
        <w:rPr>
          <w:rFonts w:ascii="Times New Roman" w:hAnsi="Times New Roman" w:cs="Times New Roman"/>
          <w:sz w:val="20"/>
          <w:szCs w:val="20"/>
          <w:lang w:val="en-US"/>
        </w:rPr>
        <w:t xml:space="preserve"> fuel cell efficiency. Utilization</w:t>
      </w:r>
      <w:r w:rsidR="00E83FC7" w:rsidRPr="008F23CC">
        <w:rPr>
          <w:rFonts w:ascii="Times New Roman" w:hAnsi="Times New Roman" w:cs="Times New Roman"/>
          <w:sz w:val="20"/>
          <w:szCs w:val="20"/>
          <w:lang w:val="en-US"/>
        </w:rPr>
        <w:t xml:space="preserve"> factor</w:t>
      </w:r>
      <w:r w:rsidRPr="008F23CC">
        <w:rPr>
          <w:rFonts w:ascii="Times New Roman" w:hAnsi="Times New Roman" w:cs="Times New Roman"/>
          <w:sz w:val="20"/>
          <w:szCs w:val="20"/>
          <w:lang w:val="en-US"/>
        </w:rPr>
        <w:t xml:space="preserve"> (U</w:t>
      </w:r>
      <w:r w:rsidR="00E83FC7" w:rsidRPr="008F23CC">
        <w:rPr>
          <w:rFonts w:ascii="Times New Roman" w:hAnsi="Times New Roman" w:cs="Times New Roman"/>
          <w:sz w:val="20"/>
          <w:szCs w:val="20"/>
          <w:vertAlign w:val="subscript"/>
          <w:lang w:val="en-US"/>
        </w:rPr>
        <w:t>f</w:t>
      </w:r>
      <w:r w:rsidRPr="008F23CC">
        <w:rPr>
          <w:rFonts w:ascii="Times New Roman" w:hAnsi="Times New Roman" w:cs="Times New Roman"/>
          <w:sz w:val="20"/>
          <w:szCs w:val="20"/>
          <w:lang w:val="en-US"/>
        </w:rPr>
        <w:t>) refers to the fraction of the tot</w:t>
      </w:r>
      <w:r w:rsidR="00850528">
        <w:rPr>
          <w:rFonts w:ascii="Times New Roman" w:hAnsi="Times New Roman" w:cs="Times New Roman"/>
          <w:sz w:val="20"/>
          <w:szCs w:val="20"/>
          <w:lang w:val="en-US"/>
        </w:rPr>
        <w:t>al fuel or oxidant supply,</w:t>
      </w:r>
      <w:r w:rsidRPr="008F23CC">
        <w:rPr>
          <w:rFonts w:ascii="Times New Roman" w:hAnsi="Times New Roman" w:cs="Times New Roman"/>
          <w:sz w:val="20"/>
          <w:szCs w:val="20"/>
          <w:lang w:val="en-US"/>
        </w:rPr>
        <w:t xml:space="preserve"> that </w:t>
      </w:r>
      <w:r w:rsidR="00014F31" w:rsidRPr="008F23CC">
        <w:rPr>
          <w:rFonts w:ascii="Times New Roman" w:hAnsi="Times New Roman" w:cs="Times New Roman"/>
          <w:sz w:val="20"/>
          <w:szCs w:val="20"/>
          <w:lang w:val="en-US"/>
        </w:rPr>
        <w:t>it is</w:t>
      </w:r>
      <w:r w:rsidRPr="008F23CC">
        <w:rPr>
          <w:rFonts w:ascii="Times New Roman" w:hAnsi="Times New Roman" w:cs="Times New Roman"/>
          <w:sz w:val="20"/>
          <w:szCs w:val="20"/>
          <w:lang w:val="en-US"/>
        </w:rPr>
        <w:t xml:space="preserve"> electrochemically</w:t>
      </w:r>
      <w:r w:rsidR="00014F31" w:rsidRPr="008F23CC">
        <w:rPr>
          <w:rFonts w:ascii="Times New Roman" w:hAnsi="Times New Roman" w:cs="Times New Roman"/>
          <w:sz w:val="20"/>
          <w:szCs w:val="20"/>
          <w:lang w:val="en-US"/>
        </w:rPr>
        <w:t xml:space="preserve"> consumed</w:t>
      </w:r>
      <w:r w:rsidRPr="008F23CC">
        <w:rPr>
          <w:rFonts w:ascii="Times New Roman" w:hAnsi="Times New Roman" w:cs="Times New Roman"/>
          <w:sz w:val="20"/>
          <w:szCs w:val="20"/>
          <w:lang w:val="en-US"/>
        </w:rPr>
        <w:t>. In low-temperature fuel cells</w:t>
      </w:r>
      <w:r w:rsidR="00014F31" w:rsidRPr="008F23CC">
        <w:rPr>
          <w:rFonts w:ascii="Times New Roman" w:hAnsi="Times New Roman" w:cs="Times New Roman"/>
          <w:sz w:val="20"/>
          <w:szCs w:val="20"/>
          <w:lang w:val="en-US"/>
        </w:rPr>
        <w:t xml:space="preserve"> (PEFCs, AFCs and PAFCs)</w:t>
      </w:r>
      <w:r w:rsidRPr="008F23CC">
        <w:rPr>
          <w:rFonts w:ascii="Times New Roman" w:hAnsi="Times New Roman" w:cs="Times New Roman"/>
          <w:sz w:val="20"/>
          <w:szCs w:val="20"/>
          <w:lang w:val="en-US"/>
        </w:rPr>
        <w:t xml:space="preserve">, </w:t>
      </w:r>
      <w:r w:rsidR="00014F31" w:rsidRPr="008F23CC">
        <w:rPr>
          <w:rFonts w:ascii="Times New Roman" w:hAnsi="Times New Roman" w:cs="Times New Roman"/>
          <w:sz w:val="20"/>
          <w:szCs w:val="20"/>
          <w:lang w:val="en-US"/>
        </w:rPr>
        <w:t>U</w:t>
      </w:r>
      <w:r w:rsidR="00014F31" w:rsidRPr="008F23CC">
        <w:rPr>
          <w:rFonts w:ascii="Times New Roman" w:hAnsi="Times New Roman" w:cs="Times New Roman"/>
          <w:sz w:val="20"/>
          <w:szCs w:val="20"/>
          <w:vertAlign w:val="subscript"/>
          <w:lang w:val="en-US"/>
        </w:rPr>
        <w:t>f</w:t>
      </w:r>
      <w:r w:rsidR="00436711"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is </w:t>
      </w:r>
      <w:r w:rsidR="00014F31" w:rsidRPr="008F23CC">
        <w:rPr>
          <w:rFonts w:ascii="Times New Roman" w:hAnsi="Times New Roman" w:cs="Times New Roman"/>
          <w:sz w:val="20"/>
          <w:szCs w:val="20"/>
          <w:lang w:val="en-US"/>
        </w:rPr>
        <w:t>directly connected to</w:t>
      </w:r>
      <w:r w:rsidRPr="008F23CC">
        <w:rPr>
          <w:rFonts w:ascii="Times New Roman" w:hAnsi="Times New Roman" w:cs="Times New Roman"/>
          <w:sz w:val="20"/>
          <w:szCs w:val="20"/>
          <w:lang w:val="en-US"/>
        </w:rPr>
        <w:t xml:space="preserv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w:t>
      </w:r>
      <w:r w:rsidR="00014F31" w:rsidRPr="008F23CC">
        <w:rPr>
          <w:rFonts w:ascii="Times New Roman" w:hAnsi="Times New Roman" w:cs="Times New Roman"/>
          <w:sz w:val="20"/>
          <w:szCs w:val="20"/>
          <w:lang w:val="en-US"/>
        </w:rPr>
        <w:t>consumption</w:t>
      </w:r>
      <w:r w:rsidRPr="008F23CC">
        <w:rPr>
          <w:rFonts w:ascii="Times New Roman" w:hAnsi="Times New Roman" w:cs="Times New Roman"/>
          <w:sz w:val="20"/>
          <w:szCs w:val="20"/>
          <w:lang w:val="en-US"/>
        </w:rPr>
        <w:t xml:space="preserve">, </w:t>
      </w:r>
      <w:r w:rsidR="00014F31" w:rsidRPr="008F23CC">
        <w:rPr>
          <w:rFonts w:ascii="Times New Roman" w:hAnsi="Times New Roman" w:cs="Times New Roman"/>
          <w:sz w:val="20"/>
          <w:szCs w:val="20"/>
          <w:lang w:val="en-US"/>
        </w:rPr>
        <w:t>which</w:t>
      </w:r>
      <w:r w:rsidRPr="008F23CC">
        <w:rPr>
          <w:rFonts w:ascii="Times New Roman" w:hAnsi="Times New Roman" w:cs="Times New Roman"/>
          <w:sz w:val="20"/>
          <w:szCs w:val="20"/>
          <w:lang w:val="en-US"/>
        </w:rPr>
        <w:t xml:space="preserve"> is the only reactant involved in the electrochemical reaction</w:t>
      </w:r>
      <w:r w:rsidR="00D04169" w:rsidRPr="008F23CC">
        <w:rPr>
          <w:rFonts w:ascii="Times New Roman" w:hAnsi="Times New Roman" w:cs="Times New Roman"/>
          <w:sz w:val="20"/>
          <w:szCs w:val="20"/>
          <w:lang w:val="en-US"/>
        </w:rPr>
        <w:t>:</w:t>
      </w:r>
    </w:p>
    <w:p w:rsidR="00E83FC7" w:rsidRPr="008F23CC" w:rsidRDefault="00E83FC7"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E83FC7"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U</m:t>
            </m:r>
          </m:e>
          <m:sub>
            <m:r>
              <m:rPr>
                <m:sty m:val="p"/>
              </m:rPr>
              <w:rPr>
                <w:rFonts w:ascii="Cambria Math" w:hAnsi="Times New Roman" w:cs="Times New Roman"/>
                <w:sz w:val="20"/>
                <w:szCs w:val="20"/>
                <w:lang w:val="en-US"/>
              </w:rPr>
              <m:t>f</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r>
              <m:rPr>
                <m:sty m:val="p"/>
              </m:rPr>
              <w:rPr>
                <w:rFonts w:ascii="Times New Roman" w:hAnsi="Times New Roman" w:cs="Times New Roman"/>
                <w:sz w:val="20"/>
                <w:szCs w:val="20"/>
                <w:lang w:val="en-US"/>
              </w:rPr>
              <m:t>-</m:t>
            </m:r>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2,out</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den>
        </m:f>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2,consumed</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den>
        </m:f>
        <m:r>
          <m:rPr>
            <m:sty m:val="p"/>
          </m:rPr>
          <w:rPr>
            <w:rFonts w:ascii="Cambria Math" w:hAnsi="Times New Roman" w:cs="Times New Roman"/>
            <w:sz w:val="20"/>
            <w:szCs w:val="20"/>
            <w:lang w:val="en-US"/>
          </w:rPr>
          <m:t xml:space="preserve"> </m:t>
        </m:r>
      </m:oMath>
      <w:r w:rsidR="00E83FC7" w:rsidRPr="008F23CC">
        <w:rPr>
          <w:rFonts w:ascii="Times New Roman" w:eastAsiaTheme="minorEastAsia" w:hAnsi="Times New Roman" w:cs="Times New Roman"/>
          <w:sz w:val="20"/>
          <w:szCs w:val="20"/>
          <w:lang w:val="en-US"/>
        </w:rPr>
        <w:t xml:space="preserve">  </w:t>
      </w:r>
      <w:r w:rsidR="00E83FC7" w:rsidRPr="008F23CC">
        <w:rPr>
          <w:rFonts w:ascii="Times New Roman" w:eastAsiaTheme="minorEastAsia" w:hAnsi="Times New Roman" w:cs="Times New Roman"/>
          <w:sz w:val="20"/>
          <w:szCs w:val="20"/>
          <w:lang w:val="en-US"/>
        </w:rPr>
        <w:tab/>
        <w:t xml:space="preserve"> </w:t>
      </w:r>
      <w:r w:rsidR="00E83FC7" w:rsidRPr="008F23CC">
        <w:rPr>
          <w:rFonts w:ascii="Times New Roman" w:eastAsiaTheme="minorEastAsia" w:hAnsi="Times New Roman" w:cs="Times New Roman"/>
          <w:sz w:val="20"/>
          <w:szCs w:val="20"/>
          <w:lang w:val="en-US"/>
        </w:rPr>
        <w:tab/>
      </w:r>
      <w:r w:rsidR="00E83FC7" w:rsidRPr="008F23CC">
        <w:rPr>
          <w:rFonts w:ascii="Times New Roman" w:eastAsiaTheme="minorEastAsia" w:hAnsi="Times New Roman" w:cs="Times New Roman"/>
          <w:sz w:val="20"/>
          <w:szCs w:val="20"/>
          <w:lang w:val="en-US"/>
        </w:rPr>
        <w:tab/>
      </w:r>
      <w:r w:rsidR="00E83FC7" w:rsidRPr="008F23CC">
        <w:rPr>
          <w:rFonts w:ascii="Times New Roman" w:eastAsiaTheme="minorEastAsia" w:hAnsi="Times New Roman" w:cs="Times New Roman"/>
          <w:sz w:val="20"/>
          <w:szCs w:val="20"/>
          <w:lang w:val="en-US"/>
        </w:rPr>
        <w:tab/>
      </w:r>
      <w:r w:rsidR="00E83FC7" w:rsidRPr="008F23CC">
        <w:rPr>
          <w:rFonts w:ascii="Times New Roman" w:eastAsiaTheme="minorEastAsia" w:hAnsi="Times New Roman" w:cs="Times New Roman"/>
          <w:sz w:val="20"/>
          <w:szCs w:val="20"/>
          <w:lang w:val="en-US"/>
        </w:rPr>
        <w:tab/>
        <w:t>13.</w:t>
      </w:r>
    </w:p>
    <w:p w:rsidR="00E83FC7" w:rsidRPr="008F23CC" w:rsidRDefault="00E83FC7"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4F31"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where H</w:t>
      </w:r>
      <w:r w:rsidRPr="008F23CC">
        <w:rPr>
          <w:rFonts w:ascii="Times New Roman" w:hAnsi="Times New Roman" w:cs="Times New Roman"/>
          <w:sz w:val="20"/>
          <w:szCs w:val="20"/>
          <w:vertAlign w:val="subscript"/>
          <w:lang w:val="en-US"/>
        </w:rPr>
        <w:t>2,in</w:t>
      </w:r>
      <w:r w:rsidRPr="008F23CC">
        <w:rPr>
          <w:rFonts w:ascii="Times New Roman" w:hAnsi="Times New Roman" w:cs="Times New Roman"/>
          <w:sz w:val="20"/>
          <w:szCs w:val="20"/>
          <w:lang w:val="en-US"/>
        </w:rPr>
        <w:t xml:space="preserve"> and H</w:t>
      </w:r>
      <w:r w:rsidRPr="008F23CC">
        <w:rPr>
          <w:rFonts w:ascii="Times New Roman" w:hAnsi="Times New Roman" w:cs="Times New Roman"/>
          <w:sz w:val="20"/>
          <w:szCs w:val="20"/>
          <w:vertAlign w:val="subscript"/>
          <w:lang w:val="en-US"/>
        </w:rPr>
        <w:t>2,out</w:t>
      </w:r>
      <w:r w:rsidRPr="008F23CC">
        <w:rPr>
          <w:rFonts w:ascii="Times New Roman" w:hAnsi="Times New Roman" w:cs="Times New Roman"/>
          <w:sz w:val="20"/>
          <w:szCs w:val="20"/>
          <w:lang w:val="en-US"/>
        </w:rPr>
        <w:t xml:space="preserve"> are the </w:t>
      </w:r>
      <w:r w:rsidR="00E62CFC" w:rsidRPr="008F23CC">
        <w:rPr>
          <w:rFonts w:ascii="Times New Roman" w:hAnsi="Times New Roman" w:cs="Times New Roman"/>
          <w:sz w:val="20"/>
          <w:szCs w:val="20"/>
          <w:lang w:val="en-US"/>
        </w:rPr>
        <w:t xml:space="preserve">molar </w:t>
      </w:r>
      <w:r w:rsidRPr="008F23CC">
        <w:rPr>
          <w:rFonts w:ascii="Times New Roman" w:hAnsi="Times New Roman" w:cs="Times New Roman"/>
          <w:sz w:val="20"/>
          <w:szCs w:val="20"/>
          <w:lang w:val="en-US"/>
        </w:rPr>
        <w:t>flow rates of H</w:t>
      </w:r>
      <w:r w:rsidRPr="00850528">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at the inlet and </w:t>
      </w:r>
      <w:r w:rsidR="00014F31"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outlet of the fuel cell. </w:t>
      </w:r>
      <w:r w:rsidR="00014F31" w:rsidRPr="008F23CC">
        <w:rPr>
          <w:rFonts w:ascii="Times New Roman" w:hAnsi="Times New Roman" w:cs="Times New Roman"/>
          <w:sz w:val="20"/>
          <w:szCs w:val="20"/>
          <w:lang w:val="en-US"/>
        </w:rPr>
        <w:t>Similar is the</w:t>
      </w:r>
      <w:r w:rsidRPr="008F23CC">
        <w:rPr>
          <w:rFonts w:ascii="Times New Roman" w:hAnsi="Times New Roman" w:cs="Times New Roman"/>
          <w:sz w:val="20"/>
          <w:szCs w:val="20"/>
          <w:lang w:val="en-US"/>
        </w:rPr>
        <w:t xml:space="preserve"> calculation </w:t>
      </w:r>
      <w:r w:rsidR="00014F31" w:rsidRPr="008F23CC">
        <w:rPr>
          <w:rFonts w:ascii="Times New Roman" w:hAnsi="Times New Roman" w:cs="Times New Roman"/>
          <w:sz w:val="20"/>
          <w:szCs w:val="20"/>
          <w:lang w:val="en-US"/>
        </w:rPr>
        <w:t>for the oxidant utilization:</w:t>
      </w:r>
    </w:p>
    <w:p w:rsidR="00014F31" w:rsidRPr="008F23CC" w:rsidRDefault="00014F31"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14F31"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U</m:t>
            </m:r>
          </m:e>
          <m:sub>
            <m:r>
              <m:rPr>
                <m:sty m:val="p"/>
              </m:rPr>
              <w:rPr>
                <w:rFonts w:ascii="Cambria Math" w:hAnsi="Times New Roman" w:cs="Times New Roman"/>
                <w:sz w:val="20"/>
                <w:szCs w:val="20"/>
                <w:lang w:val="en-US"/>
              </w:rPr>
              <m:t>f</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O</m:t>
                </m:r>
              </m:e>
              <m:sub>
                <m:r>
                  <m:rPr>
                    <m:sty m:val="p"/>
                  </m:rPr>
                  <w:rPr>
                    <w:rFonts w:ascii="Cambria Math" w:hAnsi="Times New Roman" w:cs="Times New Roman"/>
                    <w:sz w:val="20"/>
                    <w:szCs w:val="20"/>
                    <w:lang w:val="en-US"/>
                  </w:rPr>
                  <m:t>2,in</m:t>
                </m:r>
              </m:sub>
            </m:sSub>
            <m:r>
              <m:rPr>
                <m:sty m:val="p"/>
              </m:rPr>
              <w:rPr>
                <w:rFonts w:ascii="Times New Roman" w:hAnsi="Times New Roman" w:cs="Times New Roman"/>
                <w:sz w:val="20"/>
                <w:szCs w:val="20"/>
                <w:lang w:val="en-US"/>
              </w:rPr>
              <m:t>-</m:t>
            </m:r>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O</m:t>
                </m:r>
              </m:e>
              <m:sub>
                <m:r>
                  <m:rPr>
                    <m:sty m:val="p"/>
                  </m:rPr>
                  <w:rPr>
                    <w:rFonts w:ascii="Cambria Math" w:hAnsi="Times New Roman" w:cs="Times New Roman"/>
                    <w:sz w:val="20"/>
                    <w:szCs w:val="20"/>
                    <w:lang w:val="en-US"/>
                  </w:rPr>
                  <m:t>2,out</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O</m:t>
                </m:r>
              </m:e>
              <m:sub>
                <m:r>
                  <m:rPr>
                    <m:sty m:val="p"/>
                  </m:rPr>
                  <w:rPr>
                    <w:rFonts w:ascii="Cambria Math" w:hAnsi="Times New Roman" w:cs="Times New Roman"/>
                    <w:sz w:val="20"/>
                    <w:szCs w:val="20"/>
                    <w:lang w:val="en-US"/>
                  </w:rPr>
                  <m:t>2,in</m:t>
                </m:r>
              </m:sub>
            </m:sSub>
          </m:den>
        </m:f>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O</m:t>
                </m:r>
              </m:e>
              <m:sub>
                <m:r>
                  <m:rPr>
                    <m:sty m:val="p"/>
                  </m:rPr>
                  <w:rPr>
                    <w:rFonts w:ascii="Cambria Math" w:hAnsi="Times New Roman" w:cs="Times New Roman"/>
                    <w:sz w:val="20"/>
                    <w:szCs w:val="20"/>
                    <w:lang w:val="en-US"/>
                  </w:rPr>
                  <m:t>2,consumed</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O</m:t>
                </m:r>
              </m:e>
              <m:sub>
                <m:r>
                  <m:rPr>
                    <m:sty m:val="p"/>
                  </m:rPr>
                  <w:rPr>
                    <w:rFonts w:ascii="Cambria Math" w:hAnsi="Times New Roman" w:cs="Times New Roman"/>
                    <w:sz w:val="20"/>
                    <w:szCs w:val="20"/>
                    <w:lang w:val="en-US"/>
                  </w:rPr>
                  <m:t>2,in</m:t>
                </m:r>
              </m:sub>
            </m:sSub>
          </m:den>
        </m:f>
        <m:r>
          <m:rPr>
            <m:sty m:val="p"/>
          </m:rPr>
          <w:rPr>
            <w:rFonts w:ascii="Cambria Math" w:hAnsi="Times New Roman" w:cs="Times New Roman"/>
            <w:sz w:val="20"/>
            <w:szCs w:val="20"/>
            <w:lang w:val="en-US"/>
          </w:rPr>
          <m:t xml:space="preserve"> </m:t>
        </m:r>
      </m:oMath>
      <w:r w:rsidR="00014F31" w:rsidRPr="008F23CC">
        <w:rPr>
          <w:rFonts w:ascii="Times New Roman" w:eastAsiaTheme="minorEastAsia" w:hAnsi="Times New Roman" w:cs="Times New Roman"/>
          <w:sz w:val="20"/>
          <w:szCs w:val="20"/>
          <w:lang w:val="en-US"/>
        </w:rPr>
        <w:t xml:space="preserve">  </w:t>
      </w:r>
      <w:r w:rsidR="00014F31" w:rsidRPr="008F23CC">
        <w:rPr>
          <w:rFonts w:ascii="Times New Roman" w:eastAsiaTheme="minorEastAsia" w:hAnsi="Times New Roman" w:cs="Times New Roman"/>
          <w:sz w:val="20"/>
          <w:szCs w:val="20"/>
          <w:lang w:val="en-US"/>
        </w:rPr>
        <w:tab/>
        <w:t xml:space="preserve"> </w:t>
      </w:r>
      <w:r w:rsidR="00014F31" w:rsidRPr="008F23CC">
        <w:rPr>
          <w:rFonts w:ascii="Times New Roman" w:eastAsiaTheme="minorEastAsia" w:hAnsi="Times New Roman" w:cs="Times New Roman"/>
          <w:sz w:val="20"/>
          <w:szCs w:val="20"/>
          <w:lang w:val="en-US"/>
        </w:rPr>
        <w:tab/>
      </w:r>
      <w:r w:rsidR="00014F31" w:rsidRPr="008F23CC">
        <w:rPr>
          <w:rFonts w:ascii="Times New Roman" w:eastAsiaTheme="minorEastAsia" w:hAnsi="Times New Roman" w:cs="Times New Roman"/>
          <w:sz w:val="20"/>
          <w:szCs w:val="20"/>
          <w:lang w:val="en-US"/>
        </w:rPr>
        <w:tab/>
      </w:r>
      <w:r w:rsidR="00014F31" w:rsidRPr="008F23CC">
        <w:rPr>
          <w:rFonts w:ascii="Times New Roman" w:eastAsiaTheme="minorEastAsia" w:hAnsi="Times New Roman" w:cs="Times New Roman"/>
          <w:sz w:val="20"/>
          <w:szCs w:val="20"/>
          <w:lang w:val="en-US"/>
        </w:rPr>
        <w:tab/>
      </w:r>
      <w:r w:rsidR="00014F31" w:rsidRPr="008F23CC">
        <w:rPr>
          <w:rFonts w:ascii="Times New Roman" w:eastAsiaTheme="minorEastAsia" w:hAnsi="Times New Roman" w:cs="Times New Roman"/>
          <w:sz w:val="20"/>
          <w:szCs w:val="20"/>
          <w:lang w:val="en-US"/>
        </w:rPr>
        <w:tab/>
        <w:t>1</w:t>
      </w:r>
      <w:r w:rsidR="00C43173" w:rsidRPr="008F23CC">
        <w:rPr>
          <w:rFonts w:ascii="Times New Roman" w:eastAsiaTheme="minorEastAsia" w:hAnsi="Times New Roman" w:cs="Times New Roman"/>
          <w:sz w:val="20"/>
          <w:szCs w:val="20"/>
          <w:lang w:val="en-US"/>
        </w:rPr>
        <w:t>4</w:t>
      </w:r>
      <w:r w:rsidR="00014F31" w:rsidRPr="008F23CC">
        <w:rPr>
          <w:rFonts w:ascii="Times New Roman" w:eastAsiaTheme="minorEastAsia" w:hAnsi="Times New Roman" w:cs="Times New Roman"/>
          <w:sz w:val="20"/>
          <w:szCs w:val="20"/>
          <w:lang w:val="en-US"/>
        </w:rPr>
        <w:t>.</w:t>
      </w:r>
    </w:p>
    <w:p w:rsidR="00014F31" w:rsidRPr="008F23CC" w:rsidRDefault="00014F31"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05849" w:rsidRPr="008F23CC" w:rsidRDefault="00014F31"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for PEMFs, SOFCs and PAFCs. The oxidant utilization</w:t>
      </w:r>
      <w:r w:rsidR="00F05849" w:rsidRPr="008F23CC">
        <w:rPr>
          <w:rFonts w:ascii="Times New Roman" w:hAnsi="Times New Roman" w:cs="Times New Roman"/>
          <w:sz w:val="20"/>
          <w:szCs w:val="20"/>
          <w:lang w:val="en-US"/>
        </w:rPr>
        <w:t xml:space="preserve"> in MCFCs</w:t>
      </w:r>
      <w:r w:rsidRPr="008F23CC">
        <w:rPr>
          <w:rFonts w:ascii="Times New Roman" w:hAnsi="Times New Roman" w:cs="Times New Roman"/>
          <w:sz w:val="20"/>
          <w:szCs w:val="20"/>
          <w:lang w:val="en-US"/>
        </w:rPr>
        <w:t xml:space="preserve"> and AFCs</w:t>
      </w:r>
      <w:r w:rsidR="00F05849"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where </w:t>
      </w:r>
      <w:r w:rsidR="00F05849" w:rsidRPr="008F23CC">
        <w:rPr>
          <w:rFonts w:ascii="Times New Roman" w:hAnsi="Times New Roman" w:cs="Times New Roman"/>
          <w:sz w:val="20"/>
          <w:szCs w:val="20"/>
          <w:lang w:val="en-US"/>
        </w:rPr>
        <w:t>two reactant gases</w:t>
      </w:r>
      <w:r w:rsidRPr="008F23CC">
        <w:rPr>
          <w:rFonts w:ascii="Times New Roman" w:hAnsi="Times New Roman" w:cs="Times New Roman"/>
          <w:sz w:val="20"/>
          <w:szCs w:val="20"/>
          <w:lang w:val="en-US"/>
        </w:rPr>
        <w:t xml:space="preserve"> (</w:t>
      </w:r>
      <w:r w:rsidR="00F05849" w:rsidRPr="008F23CC">
        <w:rPr>
          <w:rFonts w:ascii="Times New Roman" w:hAnsi="Times New Roman" w:cs="Times New Roman"/>
          <w:sz w:val="20"/>
          <w:szCs w:val="20"/>
          <w:lang w:val="en-US"/>
        </w:rPr>
        <w:t>O</w:t>
      </w:r>
      <w:r w:rsidR="00F05849" w:rsidRPr="008F23CC">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 xml:space="preserve"> and CO</w:t>
      </w:r>
      <w:r w:rsidR="00F05849"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in the first and</w:t>
      </w:r>
      <w:r w:rsidR="00F05849"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w:t>
      </w:r>
      <w:r w:rsidR="00522106" w:rsidRPr="008F23CC">
        <w:rPr>
          <w:rFonts w:ascii="Times New Roman" w:hAnsi="Times New Roman" w:cs="Times New Roman"/>
          <w:sz w:val="20"/>
          <w:szCs w:val="20"/>
          <w:lang w:val="en-US"/>
        </w:rPr>
        <w:t>and H</w:t>
      </w:r>
      <w:r w:rsidRPr="008F23CC">
        <w:rPr>
          <w:rFonts w:ascii="Times New Roman" w:hAnsi="Times New Roman" w:cs="Times New Roman"/>
          <w:sz w:val="20"/>
          <w:szCs w:val="20"/>
          <w:vertAlign w:val="subscript"/>
          <w:lang w:val="en-US"/>
        </w:rPr>
        <w:t>2</w:t>
      </w:r>
      <w:r w:rsidR="00522106" w:rsidRPr="008F23CC">
        <w:rPr>
          <w:rFonts w:ascii="Times New Roman" w:hAnsi="Times New Roman" w:cs="Times New Roman"/>
          <w:sz w:val="20"/>
          <w:szCs w:val="20"/>
          <w:lang w:val="en-US"/>
        </w:rPr>
        <w:t xml:space="preserve">O in the latest) </w:t>
      </w:r>
      <w:r w:rsidR="00F05849" w:rsidRPr="008F23CC">
        <w:rPr>
          <w:rFonts w:ascii="Times New Roman" w:hAnsi="Times New Roman" w:cs="Times New Roman"/>
          <w:sz w:val="20"/>
          <w:szCs w:val="20"/>
          <w:lang w:val="en-US"/>
        </w:rPr>
        <w:t>are utilized in the elec</w:t>
      </w:r>
      <w:r w:rsidR="00522106" w:rsidRPr="008F23CC">
        <w:rPr>
          <w:rFonts w:ascii="Times New Roman" w:hAnsi="Times New Roman" w:cs="Times New Roman"/>
          <w:sz w:val="20"/>
          <w:szCs w:val="20"/>
          <w:lang w:val="en-US"/>
        </w:rPr>
        <w:t>trochemical reaction, t</w:t>
      </w:r>
      <w:r w:rsidR="00F05849" w:rsidRPr="008F23CC">
        <w:rPr>
          <w:rFonts w:ascii="Times New Roman" w:hAnsi="Times New Roman" w:cs="Times New Roman"/>
          <w:sz w:val="20"/>
          <w:szCs w:val="20"/>
          <w:lang w:val="en-US"/>
        </w:rPr>
        <w:t xml:space="preserve">he oxidant utilization </w:t>
      </w:r>
      <w:r w:rsidR="00522106" w:rsidRPr="008F23CC">
        <w:rPr>
          <w:rFonts w:ascii="Times New Roman" w:hAnsi="Times New Roman" w:cs="Times New Roman"/>
          <w:sz w:val="20"/>
          <w:szCs w:val="20"/>
          <w:lang w:val="en-US"/>
        </w:rPr>
        <w:t>is</w:t>
      </w:r>
      <w:r w:rsidR="00F05849" w:rsidRPr="008F23CC">
        <w:rPr>
          <w:rFonts w:ascii="Times New Roman" w:hAnsi="Times New Roman" w:cs="Times New Roman"/>
          <w:sz w:val="20"/>
          <w:szCs w:val="20"/>
          <w:lang w:val="en-US"/>
        </w:rPr>
        <w:t xml:space="preserve"> based on the limiting reactant. Frequently O</w:t>
      </w:r>
      <w:r w:rsidR="00F05849" w:rsidRPr="00850528">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 xml:space="preserve">, which is readily available from </w:t>
      </w:r>
      <w:r w:rsidR="00436711" w:rsidRPr="008F23CC">
        <w:rPr>
          <w:rFonts w:ascii="Times New Roman" w:hAnsi="Times New Roman" w:cs="Times New Roman"/>
          <w:sz w:val="20"/>
          <w:szCs w:val="20"/>
          <w:lang w:val="en-US"/>
        </w:rPr>
        <w:t>ambient</w:t>
      </w:r>
      <w:r w:rsidR="00F05849" w:rsidRPr="008F23CC">
        <w:rPr>
          <w:rFonts w:ascii="Times New Roman" w:hAnsi="Times New Roman" w:cs="Times New Roman"/>
          <w:sz w:val="20"/>
          <w:szCs w:val="20"/>
          <w:lang w:val="en-US"/>
        </w:rPr>
        <w:t xml:space="preserve"> air, is present in excess, and CO</w:t>
      </w:r>
      <w:r w:rsidR="00F05849" w:rsidRPr="00850528">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 xml:space="preserve"> </w:t>
      </w:r>
      <w:r w:rsidR="00436711" w:rsidRPr="008F23CC">
        <w:rPr>
          <w:rFonts w:ascii="Times New Roman" w:hAnsi="Times New Roman" w:cs="Times New Roman"/>
          <w:sz w:val="20"/>
          <w:szCs w:val="20"/>
          <w:lang w:val="en-US"/>
        </w:rPr>
        <w:t>or H</w:t>
      </w:r>
      <w:r w:rsidR="00436711" w:rsidRPr="008F23CC">
        <w:rPr>
          <w:rFonts w:ascii="Times New Roman" w:hAnsi="Times New Roman" w:cs="Times New Roman"/>
          <w:sz w:val="20"/>
          <w:szCs w:val="20"/>
          <w:vertAlign w:val="subscript"/>
          <w:lang w:val="en-US"/>
        </w:rPr>
        <w:t>2</w:t>
      </w:r>
      <w:r w:rsidR="00436711" w:rsidRPr="008F23CC">
        <w:rPr>
          <w:rFonts w:ascii="Times New Roman" w:hAnsi="Times New Roman" w:cs="Times New Roman"/>
          <w:sz w:val="20"/>
          <w:szCs w:val="20"/>
          <w:lang w:val="en-US"/>
        </w:rPr>
        <w:t>O are</w:t>
      </w:r>
      <w:r w:rsidR="00F05849" w:rsidRPr="008F23CC">
        <w:rPr>
          <w:rFonts w:ascii="Times New Roman" w:hAnsi="Times New Roman" w:cs="Times New Roman"/>
          <w:sz w:val="20"/>
          <w:szCs w:val="20"/>
          <w:lang w:val="en-US"/>
        </w:rPr>
        <w:t xml:space="preserve"> the limiting reactant</w:t>
      </w:r>
      <w:r w:rsidR="00436711" w:rsidRPr="008F23CC">
        <w:rPr>
          <w:rFonts w:ascii="Times New Roman" w:hAnsi="Times New Roman" w:cs="Times New Roman"/>
          <w:sz w:val="20"/>
          <w:szCs w:val="20"/>
          <w:lang w:val="en-US"/>
        </w:rPr>
        <w:t>s</w:t>
      </w:r>
      <w:r w:rsidR="00F05849" w:rsidRPr="008F23CC">
        <w:rPr>
          <w:rFonts w:ascii="Times New Roman" w:hAnsi="Times New Roman" w:cs="Times New Roman"/>
          <w:sz w:val="20"/>
          <w:szCs w:val="20"/>
          <w:lang w:val="en-US"/>
        </w:rPr>
        <w:t>.</w:t>
      </w:r>
      <w:r w:rsidR="00E62CFC" w:rsidRPr="008F23CC">
        <w:rPr>
          <w:rFonts w:ascii="Times New Roman" w:hAnsi="Times New Roman" w:cs="Times New Roman"/>
          <w:sz w:val="20"/>
          <w:szCs w:val="20"/>
          <w:lang w:val="en-US"/>
        </w:rPr>
        <w:t xml:space="preserve"> </w:t>
      </w:r>
      <w:r w:rsidR="00F05849" w:rsidRPr="008F23CC">
        <w:rPr>
          <w:rFonts w:ascii="Times New Roman" w:hAnsi="Times New Roman" w:cs="Times New Roman"/>
          <w:sz w:val="20"/>
          <w:szCs w:val="20"/>
          <w:lang w:val="en-US"/>
        </w:rPr>
        <w:t xml:space="preserve">A significant advantage of high-temperature fuel cells such as </w:t>
      </w:r>
      <w:r w:rsidR="00436711" w:rsidRPr="008F23CC">
        <w:rPr>
          <w:rFonts w:ascii="Times New Roman" w:hAnsi="Times New Roman" w:cs="Times New Roman"/>
          <w:sz w:val="20"/>
          <w:szCs w:val="20"/>
          <w:lang w:val="en-US"/>
        </w:rPr>
        <w:t xml:space="preserve">SOFCs and </w:t>
      </w:r>
      <w:r w:rsidR="00F05849" w:rsidRPr="008F23CC">
        <w:rPr>
          <w:rFonts w:ascii="Times New Roman" w:hAnsi="Times New Roman" w:cs="Times New Roman"/>
          <w:sz w:val="20"/>
          <w:szCs w:val="20"/>
          <w:lang w:val="en-US"/>
        </w:rPr>
        <w:t xml:space="preserve">MCFCs is their ability to use CO as a fuel. The anodic oxidation of CO is slow compared to </w:t>
      </w:r>
      <w:r w:rsidR="00436711" w:rsidRPr="008F23CC">
        <w:rPr>
          <w:rFonts w:ascii="Times New Roman" w:hAnsi="Times New Roman" w:cs="Times New Roman"/>
          <w:sz w:val="20"/>
          <w:szCs w:val="20"/>
          <w:lang w:val="en-US"/>
        </w:rPr>
        <w:t>that</w:t>
      </w:r>
      <w:r w:rsidR="00F05849" w:rsidRPr="008F23CC">
        <w:rPr>
          <w:rFonts w:ascii="Times New Roman" w:hAnsi="Times New Roman" w:cs="Times New Roman"/>
          <w:sz w:val="20"/>
          <w:szCs w:val="20"/>
          <w:lang w:val="en-US"/>
        </w:rPr>
        <w:t xml:space="preserve"> of H</w:t>
      </w:r>
      <w:r w:rsidR="00F05849" w:rsidRPr="008F23CC">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 However, the water gas shift reaction</w:t>
      </w:r>
      <w:r w:rsidR="004B5C42" w:rsidRPr="008F23CC">
        <w:rPr>
          <w:rFonts w:ascii="Times New Roman" w:hAnsi="Times New Roman" w:cs="Times New Roman"/>
          <w:sz w:val="20"/>
          <w:szCs w:val="20"/>
          <w:lang w:val="en-US"/>
        </w:rPr>
        <w:t>:</w:t>
      </w:r>
      <w:r w:rsidR="00522106" w:rsidRPr="008F23CC">
        <w:rPr>
          <w:rFonts w:ascii="Times New Roman" w:hAnsi="Times New Roman" w:cs="Times New Roman"/>
          <w:sz w:val="20"/>
          <w:szCs w:val="20"/>
          <w:lang w:val="en-US"/>
        </w:rPr>
        <w:t xml:space="preserve"> </w:t>
      </w:r>
    </w:p>
    <w:p w:rsidR="00F05849" w:rsidRPr="008F23CC" w:rsidRDefault="00F05849"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F05849" w:rsidRPr="008F23CC" w:rsidRDefault="00E62CFC"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w:r w:rsidRPr="008F23CC">
        <w:rPr>
          <w:rFonts w:ascii="Times New Roman" w:hAnsi="Times New Roman" w:cs="Times New Roman"/>
          <w:sz w:val="20"/>
          <w:szCs w:val="20"/>
          <w:lang w:val="en-US"/>
        </w:rPr>
        <w:t>CO +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O ↔ CO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r>
      <w:r w:rsidRPr="008F23CC">
        <w:rPr>
          <w:rFonts w:ascii="Times New Roman" w:hAnsi="Times New Roman" w:cs="Times New Roman"/>
          <w:sz w:val="20"/>
          <w:szCs w:val="20"/>
          <w:lang w:val="en-US"/>
        </w:rPr>
        <w:tab/>
        <w:t xml:space="preserve"> 1</w:t>
      </w:r>
      <w:r w:rsidR="00C43173" w:rsidRPr="008F23CC">
        <w:rPr>
          <w:rFonts w:ascii="Times New Roman" w:hAnsi="Times New Roman" w:cs="Times New Roman"/>
          <w:sz w:val="20"/>
          <w:szCs w:val="20"/>
          <w:lang w:val="en-US"/>
        </w:rPr>
        <w:t>5</w:t>
      </w:r>
      <w:r w:rsidRPr="008F23CC">
        <w:rPr>
          <w:rFonts w:ascii="Times New Roman" w:hAnsi="Times New Roman" w:cs="Times New Roman"/>
          <w:sz w:val="20"/>
          <w:szCs w:val="20"/>
          <w:lang w:val="en-US"/>
        </w:rPr>
        <w:t>.</w:t>
      </w:r>
    </w:p>
    <w:p w:rsidR="00F05849"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05849" w:rsidRPr="008F23CC" w:rsidRDefault="00436711"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rapidly </w:t>
      </w:r>
      <w:r w:rsidR="00F05849" w:rsidRPr="008F23CC">
        <w:rPr>
          <w:rFonts w:ascii="Times New Roman" w:hAnsi="Times New Roman" w:cs="Times New Roman"/>
          <w:sz w:val="20"/>
          <w:szCs w:val="20"/>
          <w:lang w:val="en-US"/>
        </w:rPr>
        <w:t xml:space="preserve">reaches equilibrium at temperatures </w:t>
      </w:r>
      <w:r w:rsidRPr="008F23CC">
        <w:rPr>
          <w:rFonts w:ascii="Times New Roman" w:hAnsi="Times New Roman" w:cs="Times New Roman"/>
          <w:sz w:val="20"/>
          <w:szCs w:val="20"/>
          <w:lang w:val="en-US"/>
        </w:rPr>
        <w:t>over</w:t>
      </w:r>
      <w:r w:rsidR="00F05849" w:rsidRPr="008F23CC">
        <w:rPr>
          <w:rFonts w:ascii="Times New Roman" w:hAnsi="Times New Roman" w:cs="Times New Roman"/>
          <w:sz w:val="20"/>
          <w:szCs w:val="20"/>
          <w:lang w:val="en-US"/>
        </w:rPr>
        <w:t xml:space="preserve"> 650</w:t>
      </w:r>
      <w:r w:rsidR="00850528">
        <w:rPr>
          <w:rFonts w:ascii="Times New Roman" w:hAnsi="Times New Roman" w:cs="Times New Roman"/>
          <w:sz w:val="20"/>
          <w:szCs w:val="20"/>
          <w:lang w:val="en-US"/>
        </w:rPr>
        <w:t xml:space="preserve"> </w:t>
      </w:r>
      <w:r w:rsidR="00850528" w:rsidRPr="00850528">
        <w:rPr>
          <w:rFonts w:ascii="Times New Roman" w:hAnsi="Times New Roman" w:cs="Times New Roman"/>
          <w:sz w:val="20"/>
          <w:szCs w:val="20"/>
          <w:vertAlign w:val="superscript"/>
          <w:lang w:val="en-US"/>
        </w:rPr>
        <w:t>o</w:t>
      </w:r>
      <w:r w:rsidR="00850528">
        <w:rPr>
          <w:rFonts w:ascii="Times New Roman" w:hAnsi="Times New Roman" w:cs="Times New Roman"/>
          <w:sz w:val="20"/>
          <w:szCs w:val="20"/>
          <w:lang w:val="en-US"/>
        </w:rPr>
        <w:t>C, and t</w:t>
      </w:r>
      <w:r w:rsidR="00F05849" w:rsidRPr="008F23CC">
        <w:rPr>
          <w:rFonts w:ascii="Times New Roman" w:hAnsi="Times New Roman" w:cs="Times New Roman"/>
          <w:sz w:val="20"/>
          <w:szCs w:val="20"/>
          <w:lang w:val="en-US"/>
        </w:rPr>
        <w:t xml:space="preserve">he </w:t>
      </w:r>
      <w:r w:rsidR="00C576F4" w:rsidRPr="008F23CC">
        <w:rPr>
          <w:rFonts w:ascii="Times New Roman" w:hAnsi="Times New Roman" w:cs="Times New Roman"/>
          <w:sz w:val="20"/>
          <w:szCs w:val="20"/>
          <w:lang w:val="en-US"/>
        </w:rPr>
        <w:t>equilibrium</w:t>
      </w:r>
      <w:r w:rsidR="00F05849" w:rsidRPr="008F23CC">
        <w:rPr>
          <w:rFonts w:ascii="Times New Roman" w:hAnsi="Times New Roman" w:cs="Times New Roman"/>
          <w:sz w:val="20"/>
          <w:szCs w:val="20"/>
          <w:lang w:val="en-US"/>
        </w:rPr>
        <w:t xml:space="preserve"> is </w:t>
      </w:r>
      <w:r w:rsidR="00C576F4" w:rsidRPr="008F23CC">
        <w:rPr>
          <w:rFonts w:ascii="Times New Roman" w:hAnsi="Times New Roman" w:cs="Times New Roman"/>
          <w:sz w:val="20"/>
          <w:szCs w:val="20"/>
          <w:lang w:val="en-US"/>
        </w:rPr>
        <w:t>shifted</w:t>
      </w:r>
      <w:r w:rsidR="00F05849" w:rsidRPr="008F23CC">
        <w:rPr>
          <w:rFonts w:ascii="Times New Roman" w:hAnsi="Times New Roman" w:cs="Times New Roman"/>
          <w:sz w:val="20"/>
          <w:szCs w:val="20"/>
          <w:lang w:val="en-US"/>
        </w:rPr>
        <w:t xml:space="preserve"> to the right because H</w:t>
      </w:r>
      <w:r w:rsidR="00F05849" w:rsidRPr="008F23CC">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O and CO</w:t>
      </w:r>
      <w:r w:rsidR="00F05849" w:rsidRPr="008F23CC">
        <w:rPr>
          <w:rFonts w:ascii="Times New Roman" w:hAnsi="Times New Roman" w:cs="Times New Roman"/>
          <w:sz w:val="20"/>
          <w:szCs w:val="20"/>
          <w:vertAlign w:val="subscript"/>
          <w:lang w:val="en-US"/>
        </w:rPr>
        <w:t>2</w:t>
      </w:r>
      <w:r w:rsidR="00F05849" w:rsidRPr="008F23CC">
        <w:rPr>
          <w:rFonts w:ascii="Times New Roman" w:hAnsi="Times New Roman" w:cs="Times New Roman"/>
          <w:sz w:val="20"/>
          <w:szCs w:val="20"/>
          <w:lang w:val="en-US"/>
        </w:rPr>
        <w:t xml:space="preserve"> are produced</w:t>
      </w:r>
      <w:r w:rsidR="00C576F4" w:rsidRPr="008F23CC">
        <w:rPr>
          <w:rFonts w:ascii="Times New Roman" w:hAnsi="Times New Roman" w:cs="Times New Roman"/>
          <w:sz w:val="20"/>
          <w:szCs w:val="20"/>
          <w:lang w:val="en-US"/>
        </w:rPr>
        <w:t>, over the anode</w:t>
      </w:r>
      <w:r w:rsidR="00F05849" w:rsidRPr="008F23CC">
        <w:rPr>
          <w:rFonts w:ascii="Times New Roman" w:hAnsi="Times New Roman" w:cs="Times New Roman"/>
          <w:sz w:val="20"/>
          <w:szCs w:val="20"/>
          <w:lang w:val="en-US"/>
        </w:rPr>
        <w:t xml:space="preserve">. </w:t>
      </w:r>
      <w:r w:rsidR="00C576F4" w:rsidRPr="008F23CC">
        <w:rPr>
          <w:rFonts w:ascii="Times New Roman" w:hAnsi="Times New Roman" w:cs="Times New Roman"/>
          <w:sz w:val="20"/>
          <w:szCs w:val="20"/>
          <w:lang w:val="en-US"/>
        </w:rPr>
        <w:t>Thus, H</w:t>
      </w:r>
      <w:r w:rsidR="00C576F4" w:rsidRPr="008F23CC">
        <w:rPr>
          <w:rFonts w:ascii="Times New Roman" w:hAnsi="Times New Roman" w:cs="Times New Roman"/>
          <w:sz w:val="20"/>
          <w:szCs w:val="20"/>
          <w:vertAlign w:val="subscript"/>
          <w:lang w:val="en-US"/>
        </w:rPr>
        <w:t xml:space="preserve">2 </w:t>
      </w:r>
      <w:r w:rsidR="00F05849" w:rsidRPr="008F23CC">
        <w:rPr>
          <w:rFonts w:ascii="Times New Roman" w:hAnsi="Times New Roman" w:cs="Times New Roman"/>
          <w:sz w:val="20"/>
          <w:szCs w:val="20"/>
          <w:lang w:val="en-US"/>
        </w:rPr>
        <w:t xml:space="preserve">utilization in </w:t>
      </w:r>
      <w:r w:rsidR="00C576F4" w:rsidRPr="008F23CC">
        <w:rPr>
          <w:rFonts w:ascii="Times New Roman" w:hAnsi="Times New Roman" w:cs="Times New Roman"/>
          <w:sz w:val="20"/>
          <w:szCs w:val="20"/>
          <w:lang w:val="en-US"/>
        </w:rPr>
        <w:t>high temperature fuel cells</w:t>
      </w:r>
      <w:r w:rsidR="00F05849" w:rsidRPr="008F23CC">
        <w:rPr>
          <w:rFonts w:ascii="Times New Roman" w:hAnsi="Times New Roman" w:cs="Times New Roman"/>
          <w:sz w:val="20"/>
          <w:szCs w:val="20"/>
          <w:lang w:val="en-US"/>
        </w:rPr>
        <w:t xml:space="preserve"> is defined </w:t>
      </w:r>
      <w:r w:rsidR="00C576F4" w:rsidRPr="008F23CC">
        <w:rPr>
          <w:rFonts w:ascii="Times New Roman" w:hAnsi="Times New Roman" w:cs="Times New Roman"/>
          <w:sz w:val="20"/>
          <w:szCs w:val="20"/>
          <w:lang w:val="en-US"/>
        </w:rPr>
        <w:t>as:</w:t>
      </w:r>
    </w:p>
    <w:p w:rsidR="00F05849"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E62CFC" w:rsidRPr="008F23CC" w:rsidRDefault="00574C45" w:rsidP="003066A0">
      <w:pPr>
        <w:widowControl w:val="0"/>
        <w:autoSpaceDE w:val="0"/>
        <w:autoSpaceDN w:val="0"/>
        <w:adjustRightInd w:val="0"/>
        <w:spacing w:after="0" w:line="240" w:lineRule="auto"/>
        <w:jc w:val="right"/>
        <w:rPr>
          <w:rFonts w:ascii="Times New Roman" w:hAnsi="Times New Roman" w:cs="Times New Roman"/>
          <w:sz w:val="20"/>
          <w:szCs w:val="20"/>
          <w:lang w:val="en-US"/>
        </w:rPr>
      </w:pPr>
      <m:oMath>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U</m:t>
            </m:r>
          </m:e>
          <m:sub>
            <m:r>
              <m:rPr>
                <m:sty m:val="p"/>
              </m:rPr>
              <w:rPr>
                <w:rFonts w:ascii="Cambria Math" w:hAnsi="Times New Roman" w:cs="Times New Roman"/>
                <w:sz w:val="20"/>
                <w:szCs w:val="20"/>
                <w:lang w:val="en-US"/>
              </w:rPr>
              <m:t>f</m:t>
            </m:r>
          </m:sub>
        </m:sSub>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r>
              <m:rPr>
                <m:sty m:val="p"/>
              </m:rPr>
              <w:rPr>
                <w:rFonts w:ascii="Times New Roman" w:hAnsi="Times New Roman" w:cs="Times New Roman"/>
                <w:sz w:val="20"/>
                <w:szCs w:val="20"/>
                <w:lang w:val="en-US"/>
              </w:rPr>
              <m:t>-</m:t>
            </m:r>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2,out</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r>
              <m:rPr>
                <m:sty m:val="p"/>
              </m:rPr>
              <w:rPr>
                <w:rFonts w:ascii="Cambria Math" w:hAnsi="Times New Roman" w:cs="Times New Roman"/>
                <w:sz w:val="20"/>
                <w:szCs w:val="20"/>
                <w:lang w:val="en-US"/>
              </w:rPr>
              <m:t>+</m:t>
            </m:r>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CO</m:t>
                </m:r>
              </m:e>
              <m:sub>
                <m:r>
                  <m:rPr>
                    <m:sty m:val="p"/>
                  </m:rPr>
                  <w:rPr>
                    <w:rFonts w:ascii="Cambria Math" w:hAnsi="Times New Roman" w:cs="Times New Roman"/>
                    <w:sz w:val="20"/>
                    <w:szCs w:val="20"/>
                    <w:lang w:val="en-US"/>
                  </w:rPr>
                  <m:t>in</m:t>
                </m:r>
              </m:sub>
            </m:sSub>
          </m:den>
        </m:f>
        <m:r>
          <m:rPr>
            <m:sty m:val="p"/>
          </m:rPr>
          <w:rPr>
            <w:rFonts w:ascii="Cambria Math" w:hAnsi="Times New Roman" w:cs="Times New Roman"/>
            <w:sz w:val="20"/>
            <w:szCs w:val="20"/>
            <w:lang w:val="en-US"/>
          </w:rPr>
          <m:t>=</m:t>
        </m:r>
        <m:f>
          <m:fPr>
            <m:ctrlPr>
              <w:rPr>
                <w:rFonts w:ascii="Cambria Math" w:hAnsi="Times New Roman" w:cs="Times New Roman"/>
                <w:sz w:val="20"/>
                <w:szCs w:val="20"/>
                <w:lang w:val="en-US"/>
              </w:rPr>
            </m:ctrlPr>
          </m:fPr>
          <m:num>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2,consumed</m:t>
                </m:r>
              </m:sub>
            </m:sSub>
          </m:num>
          <m:den>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H</m:t>
                </m:r>
              </m:e>
              <m:sub>
                <m:r>
                  <m:rPr>
                    <m:sty m:val="p"/>
                  </m:rPr>
                  <w:rPr>
                    <w:rFonts w:ascii="Cambria Math" w:hAnsi="Times New Roman" w:cs="Times New Roman"/>
                    <w:sz w:val="20"/>
                    <w:szCs w:val="20"/>
                    <w:lang w:val="en-US"/>
                  </w:rPr>
                  <m:t>2,in</m:t>
                </m:r>
              </m:sub>
            </m:sSub>
            <m:r>
              <m:rPr>
                <m:sty m:val="p"/>
              </m:rPr>
              <w:rPr>
                <w:rFonts w:ascii="Cambria Math" w:hAnsi="Times New Roman" w:cs="Times New Roman"/>
                <w:sz w:val="20"/>
                <w:szCs w:val="20"/>
                <w:lang w:val="en-US"/>
              </w:rPr>
              <m:t>+</m:t>
            </m:r>
            <m:sSub>
              <m:sSubPr>
                <m:ctrlPr>
                  <w:rPr>
                    <w:rFonts w:ascii="Cambria Math" w:hAnsi="Times New Roman" w:cs="Times New Roman"/>
                    <w:sz w:val="20"/>
                    <w:szCs w:val="20"/>
                  </w:rPr>
                </m:ctrlPr>
              </m:sSubPr>
              <m:e>
                <m:r>
                  <m:rPr>
                    <m:sty m:val="p"/>
                  </m:rPr>
                  <w:rPr>
                    <w:rFonts w:ascii="Cambria Math" w:hAnsi="Times New Roman" w:cs="Times New Roman"/>
                    <w:sz w:val="20"/>
                    <w:szCs w:val="20"/>
                    <w:lang w:val="en-US"/>
                  </w:rPr>
                  <m:t>CO</m:t>
                </m:r>
              </m:e>
              <m:sub>
                <m:r>
                  <m:rPr>
                    <m:sty m:val="p"/>
                  </m:rPr>
                  <w:rPr>
                    <w:rFonts w:ascii="Cambria Math" w:hAnsi="Times New Roman" w:cs="Times New Roman"/>
                    <w:sz w:val="20"/>
                    <w:szCs w:val="20"/>
                    <w:lang w:val="en-US"/>
                  </w:rPr>
                  <m:t>in</m:t>
                </m:r>
              </m:sub>
            </m:sSub>
          </m:den>
        </m:f>
        <m:r>
          <m:rPr>
            <m:sty m:val="p"/>
          </m:rPr>
          <w:rPr>
            <w:rFonts w:ascii="Cambria Math" w:hAnsi="Times New Roman" w:cs="Times New Roman"/>
            <w:sz w:val="20"/>
            <w:szCs w:val="20"/>
            <w:lang w:val="en-US"/>
          </w:rPr>
          <m:t xml:space="preserve"> </m:t>
        </m:r>
      </m:oMath>
      <w:r w:rsidR="00E62CFC" w:rsidRPr="008F23CC">
        <w:rPr>
          <w:rFonts w:ascii="Times New Roman" w:eastAsiaTheme="minorEastAsia" w:hAnsi="Times New Roman" w:cs="Times New Roman"/>
          <w:sz w:val="20"/>
          <w:szCs w:val="20"/>
          <w:lang w:val="en-US"/>
        </w:rPr>
        <w:t xml:space="preserve">  </w:t>
      </w:r>
      <w:r w:rsidR="00E62CFC" w:rsidRPr="008F23CC">
        <w:rPr>
          <w:rFonts w:ascii="Times New Roman" w:eastAsiaTheme="minorEastAsia" w:hAnsi="Times New Roman" w:cs="Times New Roman"/>
          <w:sz w:val="20"/>
          <w:szCs w:val="20"/>
          <w:lang w:val="en-US"/>
        </w:rPr>
        <w:tab/>
        <w:t xml:space="preserve"> </w:t>
      </w:r>
      <w:r w:rsidR="00E62CFC" w:rsidRPr="008F23CC">
        <w:rPr>
          <w:rFonts w:ascii="Times New Roman" w:eastAsiaTheme="minorEastAsia" w:hAnsi="Times New Roman" w:cs="Times New Roman"/>
          <w:sz w:val="20"/>
          <w:szCs w:val="20"/>
          <w:lang w:val="en-US"/>
        </w:rPr>
        <w:tab/>
      </w:r>
      <w:r w:rsidR="00E62CFC" w:rsidRPr="008F23CC">
        <w:rPr>
          <w:rFonts w:ascii="Times New Roman" w:eastAsiaTheme="minorEastAsia" w:hAnsi="Times New Roman" w:cs="Times New Roman"/>
          <w:sz w:val="20"/>
          <w:szCs w:val="20"/>
          <w:lang w:val="en-US"/>
        </w:rPr>
        <w:tab/>
      </w:r>
      <w:r w:rsidR="00E62CFC" w:rsidRPr="008F23CC">
        <w:rPr>
          <w:rFonts w:ascii="Times New Roman" w:eastAsiaTheme="minorEastAsia" w:hAnsi="Times New Roman" w:cs="Times New Roman"/>
          <w:sz w:val="20"/>
          <w:szCs w:val="20"/>
          <w:lang w:val="en-US"/>
        </w:rPr>
        <w:tab/>
      </w:r>
      <w:r w:rsidR="00E62CFC" w:rsidRPr="008F23CC">
        <w:rPr>
          <w:rFonts w:ascii="Times New Roman" w:eastAsiaTheme="minorEastAsia" w:hAnsi="Times New Roman" w:cs="Times New Roman"/>
          <w:sz w:val="20"/>
          <w:szCs w:val="20"/>
          <w:lang w:val="en-US"/>
        </w:rPr>
        <w:tab/>
        <w:t>1</w:t>
      </w:r>
      <w:r w:rsidR="00C43173" w:rsidRPr="008F23CC">
        <w:rPr>
          <w:rFonts w:ascii="Times New Roman" w:eastAsiaTheme="minorEastAsia" w:hAnsi="Times New Roman" w:cs="Times New Roman"/>
          <w:sz w:val="20"/>
          <w:szCs w:val="20"/>
          <w:lang w:val="en-US"/>
        </w:rPr>
        <w:t>6</w:t>
      </w:r>
      <w:r w:rsidR="00E62CFC" w:rsidRPr="008F23CC">
        <w:rPr>
          <w:rFonts w:ascii="Times New Roman" w:eastAsiaTheme="minorEastAsia" w:hAnsi="Times New Roman" w:cs="Times New Roman"/>
          <w:sz w:val="20"/>
          <w:szCs w:val="20"/>
          <w:lang w:val="en-US"/>
        </w:rPr>
        <w:t>.</w:t>
      </w:r>
    </w:p>
    <w:p w:rsidR="00F05849"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05849"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where the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consumed originates </w:t>
      </w:r>
      <w:r w:rsidR="00C576F4" w:rsidRPr="008F23CC">
        <w:rPr>
          <w:rFonts w:ascii="Times New Roman" w:hAnsi="Times New Roman" w:cs="Times New Roman"/>
          <w:sz w:val="20"/>
          <w:szCs w:val="20"/>
          <w:lang w:val="en-US"/>
        </w:rPr>
        <w:t xml:space="preserve">both </w:t>
      </w:r>
      <w:r w:rsidRPr="008F23CC">
        <w:rPr>
          <w:rFonts w:ascii="Times New Roman" w:hAnsi="Times New Roman" w:cs="Times New Roman"/>
          <w:sz w:val="20"/>
          <w:szCs w:val="20"/>
          <w:lang w:val="en-US"/>
        </w:rPr>
        <w:t>from the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w:t>
      </w:r>
      <w:r w:rsidR="00C576F4" w:rsidRPr="008F23CC">
        <w:rPr>
          <w:rFonts w:ascii="Times New Roman" w:hAnsi="Times New Roman" w:cs="Times New Roman"/>
          <w:sz w:val="20"/>
          <w:szCs w:val="20"/>
          <w:lang w:val="en-US"/>
        </w:rPr>
        <w:t>feed</w:t>
      </w:r>
      <w:r w:rsidRPr="008F23CC">
        <w:rPr>
          <w:rFonts w:ascii="Times New Roman" w:hAnsi="Times New Roman" w:cs="Times New Roman"/>
          <w:sz w:val="20"/>
          <w:szCs w:val="20"/>
          <w:lang w:val="en-US"/>
        </w:rPr>
        <w:t xml:space="preserve"> and the water gas shift reaction.</w:t>
      </w:r>
    </w:p>
    <w:p w:rsidR="00F05849"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3F4C72" w:rsidRPr="008F23CC" w:rsidRDefault="003F4C72"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F05849" w:rsidRPr="00936ADD" w:rsidRDefault="00764023" w:rsidP="003066A0">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936ADD">
        <w:rPr>
          <w:rFonts w:ascii="Times New Roman" w:hAnsi="Times New Roman" w:cs="Times New Roman"/>
          <w:b/>
          <w:sz w:val="24"/>
          <w:szCs w:val="24"/>
          <w:lang w:val="en-US"/>
        </w:rPr>
        <w:t xml:space="preserve">3. Types of Fuel Cells – Technology Status </w:t>
      </w:r>
    </w:p>
    <w:p w:rsidR="001C7BFF" w:rsidRPr="00936ADD" w:rsidRDefault="001C7BFF" w:rsidP="001C7BFF">
      <w:pPr>
        <w:widowControl w:val="0"/>
        <w:autoSpaceDE w:val="0"/>
        <w:autoSpaceDN w:val="0"/>
        <w:adjustRightInd w:val="0"/>
        <w:spacing w:after="0" w:line="240" w:lineRule="auto"/>
        <w:jc w:val="both"/>
        <w:rPr>
          <w:rFonts w:ascii="Times New Roman" w:hAnsi="Times New Roman" w:cs="Times New Roman"/>
          <w:sz w:val="16"/>
          <w:szCs w:val="16"/>
          <w:lang w:val="en-US"/>
        </w:rPr>
      </w:pPr>
    </w:p>
    <w:p w:rsidR="001C7BFF" w:rsidRPr="006F46CA" w:rsidRDefault="00E47FD1" w:rsidP="008F23CC">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bCs/>
          <w:sz w:val="20"/>
          <w:szCs w:val="20"/>
          <w:lang w:val="en-US"/>
        </w:rPr>
        <w:t xml:space="preserve">A determinative factor concerning the choice </w:t>
      </w:r>
      <w:r>
        <w:rPr>
          <w:rFonts w:ascii="Times New Roman" w:hAnsi="Times New Roman" w:cs="Times New Roman"/>
          <w:bCs/>
          <w:sz w:val="20"/>
          <w:szCs w:val="20"/>
          <w:lang w:val="en-US"/>
        </w:rPr>
        <w:t xml:space="preserve">of </w:t>
      </w:r>
      <w:r w:rsidRPr="008F23CC">
        <w:rPr>
          <w:rFonts w:ascii="Times New Roman" w:hAnsi="Times New Roman" w:cs="Times New Roman"/>
          <w:bCs/>
          <w:sz w:val="20"/>
          <w:szCs w:val="20"/>
          <w:lang w:val="en-US"/>
        </w:rPr>
        <w:t>fuel cell</w:t>
      </w:r>
      <w:r>
        <w:rPr>
          <w:rFonts w:ascii="Times New Roman" w:hAnsi="Times New Roman" w:cs="Times New Roman"/>
          <w:bCs/>
          <w:sz w:val="20"/>
          <w:szCs w:val="20"/>
          <w:lang w:val="en-US"/>
        </w:rPr>
        <w:t xml:space="preserve"> type</w:t>
      </w:r>
      <w:r w:rsidRPr="008F23CC">
        <w:rPr>
          <w:rFonts w:ascii="Times New Roman" w:hAnsi="Times New Roman" w:cs="Times New Roman"/>
          <w:bCs/>
          <w:sz w:val="20"/>
          <w:szCs w:val="20"/>
          <w:lang w:val="en-US"/>
        </w:rPr>
        <w:t xml:space="preserve">, is hydrogen purity. </w:t>
      </w:r>
      <w:r w:rsidR="006F46CA">
        <w:rPr>
          <w:rFonts w:ascii="Times New Roman" w:hAnsi="Times New Roman" w:cs="Times New Roman"/>
          <w:iCs/>
          <w:sz w:val="20"/>
          <w:szCs w:val="20"/>
          <w:lang w:val="en-US"/>
        </w:rPr>
        <w:t>Low temperature fuel cells</w:t>
      </w:r>
      <w:r w:rsidRPr="008F23CC">
        <w:rPr>
          <w:rFonts w:ascii="Times New Roman" w:hAnsi="Times New Roman" w:cs="Times New Roman"/>
          <w:iCs/>
          <w:sz w:val="20"/>
          <w:szCs w:val="20"/>
          <w:lang w:val="en-US"/>
        </w:rPr>
        <w:t xml:space="preserve"> require pure hydrogen, because the catalyst </w:t>
      </w:r>
      <w:r>
        <w:rPr>
          <w:rFonts w:ascii="Times New Roman" w:hAnsi="Times New Roman" w:cs="Times New Roman"/>
          <w:iCs/>
          <w:sz w:val="20"/>
          <w:szCs w:val="20"/>
          <w:lang w:val="en-US"/>
        </w:rPr>
        <w:t>exhibit</w:t>
      </w:r>
      <w:r w:rsidR="006F46CA">
        <w:rPr>
          <w:rFonts w:ascii="Times New Roman" w:hAnsi="Times New Roman" w:cs="Times New Roman"/>
          <w:iCs/>
          <w:sz w:val="20"/>
          <w:szCs w:val="20"/>
          <w:lang w:val="en-US"/>
        </w:rPr>
        <w:t>s</w:t>
      </w:r>
      <w:r>
        <w:rPr>
          <w:rFonts w:ascii="Times New Roman" w:hAnsi="Times New Roman" w:cs="Times New Roman"/>
          <w:iCs/>
          <w:sz w:val="20"/>
          <w:szCs w:val="20"/>
          <w:lang w:val="en-US"/>
        </w:rPr>
        <w:t xml:space="preserve"> almost no</w:t>
      </w:r>
      <w:r w:rsidRPr="008F23CC">
        <w:rPr>
          <w:rFonts w:ascii="Times New Roman" w:hAnsi="Times New Roman" w:cs="Times New Roman"/>
          <w:iCs/>
          <w:sz w:val="20"/>
          <w:szCs w:val="20"/>
          <w:lang w:val="en-US"/>
        </w:rPr>
        <w:t xml:space="preserve"> tolerance to sulphur compounds and carbon monoxide, arising problems for hydrogen produced from natural gas. In contrast, SOFCs</w:t>
      </w:r>
      <w:r w:rsidR="006F46CA">
        <w:rPr>
          <w:rFonts w:ascii="Times New Roman" w:hAnsi="Times New Roman" w:cs="Times New Roman"/>
          <w:iCs/>
          <w:sz w:val="20"/>
          <w:szCs w:val="20"/>
          <w:lang w:val="en-US"/>
        </w:rPr>
        <w:t xml:space="preserve"> and MCFCs</w:t>
      </w:r>
      <w:r w:rsidRPr="008F23CC">
        <w:rPr>
          <w:rFonts w:ascii="Times New Roman" w:hAnsi="Times New Roman" w:cs="Times New Roman"/>
          <w:iCs/>
          <w:sz w:val="20"/>
          <w:szCs w:val="20"/>
          <w:lang w:val="en-US"/>
        </w:rPr>
        <w:t xml:space="preserve"> are more tolerant </w:t>
      </w:r>
      <w:r w:rsidR="006F46CA">
        <w:rPr>
          <w:rFonts w:ascii="Times New Roman" w:hAnsi="Times New Roman" w:cs="Times New Roman"/>
          <w:iCs/>
          <w:sz w:val="20"/>
          <w:szCs w:val="20"/>
          <w:lang w:val="en-US"/>
        </w:rPr>
        <w:t>to</w:t>
      </w:r>
      <w:r w:rsidRPr="008F23CC">
        <w:rPr>
          <w:rFonts w:ascii="Times New Roman" w:hAnsi="Times New Roman" w:cs="Times New Roman"/>
          <w:iCs/>
          <w:sz w:val="20"/>
          <w:szCs w:val="20"/>
          <w:lang w:val="en-US"/>
        </w:rPr>
        <w:t xml:space="preserve"> impurities</w:t>
      </w:r>
      <w:r w:rsidR="006F46CA">
        <w:rPr>
          <w:rFonts w:ascii="Times New Roman" w:hAnsi="Times New Roman" w:cs="Times New Roman"/>
          <w:iCs/>
          <w:sz w:val="20"/>
          <w:szCs w:val="20"/>
          <w:lang w:val="en-US"/>
        </w:rPr>
        <w:t>,</w:t>
      </w:r>
      <w:r w:rsidRPr="008F23CC">
        <w:rPr>
          <w:rFonts w:ascii="Times New Roman" w:hAnsi="Times New Roman" w:cs="Times New Roman"/>
          <w:iCs/>
          <w:sz w:val="20"/>
          <w:szCs w:val="20"/>
          <w:lang w:val="en-US"/>
        </w:rPr>
        <w:t xml:space="preserve"> due to their high operating temperature</w:t>
      </w:r>
      <w:r w:rsidR="006F46CA">
        <w:rPr>
          <w:rFonts w:ascii="Times New Roman" w:hAnsi="Times New Roman" w:cs="Times New Roman"/>
          <w:iCs/>
          <w:sz w:val="20"/>
          <w:szCs w:val="20"/>
          <w:lang w:val="en-US"/>
        </w:rPr>
        <w:t>s, and</w:t>
      </w:r>
      <w:r w:rsidRPr="008F23CC">
        <w:rPr>
          <w:rFonts w:ascii="Times New Roman" w:hAnsi="Times New Roman" w:cs="Times New Roman"/>
          <w:iCs/>
          <w:sz w:val="20"/>
          <w:szCs w:val="20"/>
          <w:lang w:val="en-US"/>
        </w:rPr>
        <w:t xml:space="preserve"> </w:t>
      </w:r>
      <w:r w:rsidR="006F46CA">
        <w:rPr>
          <w:rFonts w:ascii="Times New Roman" w:hAnsi="Times New Roman" w:cs="Times New Roman"/>
          <w:iCs/>
          <w:sz w:val="20"/>
          <w:szCs w:val="20"/>
          <w:lang w:val="en-US"/>
        </w:rPr>
        <w:t>CO</w:t>
      </w:r>
      <w:r w:rsidRPr="008F23CC">
        <w:rPr>
          <w:rFonts w:ascii="Times New Roman" w:hAnsi="Times New Roman" w:cs="Times New Roman"/>
          <w:iCs/>
          <w:sz w:val="20"/>
          <w:szCs w:val="20"/>
          <w:lang w:val="en-US"/>
        </w:rPr>
        <w:t xml:space="preserve">, a contaminant for PEM fuel cells, can be used as a fuel. </w:t>
      </w:r>
      <w:r w:rsidR="001C7BFF" w:rsidRPr="006F46CA">
        <w:rPr>
          <w:rFonts w:ascii="Times New Roman" w:hAnsi="Times New Roman" w:cs="Times New Roman"/>
          <w:sz w:val="20"/>
          <w:szCs w:val="20"/>
          <w:lang w:val="en-US"/>
        </w:rPr>
        <w:t xml:space="preserve">Polymer electrolyte fuel cells (PEFCs), solid oxide fuel cells (SOFCs) and molten carbonate fuel cells (MCFCs) are considered as the most promising candidates for </w:t>
      </w:r>
      <w:r w:rsidR="001C7BFF" w:rsidRPr="006F46CA">
        <w:rPr>
          <w:rFonts w:ascii="Times New Roman" w:hAnsi="Times New Roman" w:cs="Times New Roman"/>
          <w:sz w:val="20"/>
          <w:szCs w:val="20"/>
          <w:lang w:val="en-US"/>
        </w:rPr>
        <w:lastRenderedPageBreak/>
        <w:t xml:space="preserve">stationary applications. </w:t>
      </w:r>
      <w:r w:rsidR="006F46CA" w:rsidRPr="008F23CC">
        <w:rPr>
          <w:rFonts w:ascii="Times New Roman" w:hAnsi="Times New Roman" w:cs="Times New Roman"/>
          <w:sz w:val="20"/>
          <w:szCs w:val="20"/>
          <w:lang w:val="en-US"/>
        </w:rPr>
        <w:t>PE</w:t>
      </w:r>
      <w:r w:rsidR="006F46CA">
        <w:rPr>
          <w:rFonts w:ascii="Times New Roman" w:hAnsi="Times New Roman" w:cs="Times New Roman"/>
          <w:sz w:val="20"/>
          <w:szCs w:val="20"/>
          <w:lang w:val="en-US"/>
        </w:rPr>
        <w:t>M fuel cells</w:t>
      </w:r>
      <w:r w:rsidR="006F46CA" w:rsidRPr="008F23CC">
        <w:rPr>
          <w:rFonts w:ascii="Times New Roman" w:hAnsi="Times New Roman" w:cs="Times New Roman"/>
          <w:sz w:val="20"/>
          <w:szCs w:val="20"/>
          <w:lang w:val="en-US"/>
        </w:rPr>
        <w:t xml:space="preserve"> generate power densities </w:t>
      </w:r>
      <w:r w:rsidR="006F46CA" w:rsidRPr="008F23CC">
        <w:rPr>
          <w:rFonts w:ascii="Times New Roman" w:hAnsi="Times New Roman" w:cs="Times New Roman"/>
          <w:color w:val="000000"/>
          <w:sz w:val="20"/>
          <w:szCs w:val="20"/>
          <w:lang w:val="en-US"/>
        </w:rPr>
        <w:t>up to 4 A/cm</w:t>
      </w:r>
      <w:r w:rsidR="006F46CA" w:rsidRPr="008F23CC">
        <w:rPr>
          <w:rFonts w:ascii="Times New Roman" w:hAnsi="Times New Roman" w:cs="Times New Roman"/>
          <w:color w:val="000000"/>
          <w:sz w:val="20"/>
          <w:szCs w:val="20"/>
          <w:vertAlign w:val="superscript"/>
          <w:lang w:val="en-US"/>
        </w:rPr>
        <w:t>2</w:t>
      </w:r>
      <w:r w:rsidR="006F46CA" w:rsidRPr="008F23CC">
        <w:rPr>
          <w:rFonts w:ascii="Times New Roman" w:hAnsi="Times New Roman" w:cs="Times New Roman"/>
          <w:color w:val="000000"/>
          <w:sz w:val="20"/>
          <w:szCs w:val="20"/>
          <w:lang w:val="en-US"/>
        </w:rPr>
        <w:t>, a</w:t>
      </w:r>
      <w:r w:rsidR="006F46CA" w:rsidRPr="008F23CC">
        <w:rPr>
          <w:rFonts w:ascii="Times New Roman" w:hAnsi="Times New Roman" w:cs="Times New Roman"/>
          <w:sz w:val="20"/>
          <w:szCs w:val="20"/>
          <w:lang w:val="en-US"/>
        </w:rPr>
        <w:t xml:space="preserve">t high efficiencies, </w:t>
      </w:r>
      <w:r w:rsidR="006F46CA" w:rsidRPr="008F23CC">
        <w:rPr>
          <w:rFonts w:ascii="Times New Roman" w:hAnsi="Times New Roman" w:cs="Times New Roman"/>
          <w:color w:val="000000"/>
          <w:sz w:val="20"/>
          <w:szCs w:val="20"/>
          <w:lang w:val="en-US"/>
        </w:rPr>
        <w:t>while most technologies can hardly reach 1 A/cm</w:t>
      </w:r>
      <w:r w:rsidR="006F46CA" w:rsidRPr="008F23CC">
        <w:rPr>
          <w:rFonts w:ascii="Times New Roman" w:hAnsi="Times New Roman" w:cs="Times New Roman"/>
          <w:color w:val="000000"/>
          <w:sz w:val="20"/>
          <w:szCs w:val="20"/>
          <w:vertAlign w:val="superscript"/>
          <w:lang w:val="en-US"/>
        </w:rPr>
        <w:t>2</w:t>
      </w:r>
      <w:r w:rsidR="006F46CA" w:rsidRPr="008F23CC">
        <w:rPr>
          <w:rFonts w:ascii="Times New Roman" w:hAnsi="Times New Roman" w:cs="Times New Roman"/>
          <w:color w:val="000000"/>
          <w:sz w:val="20"/>
          <w:szCs w:val="20"/>
          <w:lang w:val="en-US"/>
        </w:rPr>
        <w:t xml:space="preserve">. </w:t>
      </w:r>
      <w:r w:rsidR="006F46CA" w:rsidRPr="008F23CC">
        <w:rPr>
          <w:rFonts w:ascii="Times New Roman" w:hAnsi="Times New Roman" w:cs="Times New Roman"/>
          <w:sz w:val="20"/>
          <w:szCs w:val="20"/>
          <w:lang w:val="en-US"/>
        </w:rPr>
        <w:t xml:space="preserve">This characteristic, in combination to weight, volume, and cost advantages, makes this type of fuel cells the most attractive for both mobile and stationary applications. </w:t>
      </w:r>
      <w:r w:rsidR="001C7BFF" w:rsidRPr="006F46CA">
        <w:rPr>
          <w:rFonts w:ascii="Times New Roman" w:hAnsi="Times New Roman" w:cs="Times New Roman"/>
          <w:sz w:val="20"/>
          <w:szCs w:val="20"/>
          <w:lang w:val="en-US"/>
        </w:rPr>
        <w:t>SOFCs and MCFCs appear to have similar prospects to gain a part of the market in the comin</w:t>
      </w:r>
      <w:r w:rsidR="006F46CA">
        <w:rPr>
          <w:rFonts w:ascii="Times New Roman" w:hAnsi="Times New Roman" w:cs="Times New Roman"/>
          <w:sz w:val="20"/>
          <w:szCs w:val="20"/>
          <w:lang w:val="en-US"/>
        </w:rPr>
        <w:t>g decades</w:t>
      </w:r>
      <w:r w:rsidR="001C7BFF" w:rsidRPr="006F46CA">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1,2</w:t>
      </w:r>
      <w:r w:rsidR="001C7BFF" w:rsidRPr="006F46CA">
        <w:rPr>
          <w:rFonts w:ascii="Times New Roman" w:hAnsi="Times New Roman" w:cs="Times New Roman"/>
          <w:sz w:val="20"/>
          <w:szCs w:val="20"/>
          <w:lang w:val="en-US"/>
        </w:rPr>
        <w:t>].</w:t>
      </w:r>
    </w:p>
    <w:p w:rsidR="00F05849" w:rsidRPr="008F23CC" w:rsidRDefault="00F0584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7E1E02" w:rsidRPr="00936ADD" w:rsidRDefault="009D095D" w:rsidP="003066A0">
      <w:pPr>
        <w:widowControl w:val="0"/>
        <w:autoSpaceDE w:val="0"/>
        <w:autoSpaceDN w:val="0"/>
        <w:adjustRightInd w:val="0"/>
        <w:spacing w:after="0" w:line="240" w:lineRule="auto"/>
        <w:jc w:val="both"/>
        <w:rPr>
          <w:rFonts w:ascii="Times New Roman" w:hAnsi="Times New Roman" w:cs="Times New Roman"/>
          <w:b/>
          <w:bCs/>
          <w:iCs/>
          <w:lang w:val="en-US"/>
        </w:rPr>
      </w:pPr>
      <w:r w:rsidRPr="00936ADD">
        <w:rPr>
          <w:rFonts w:ascii="Times New Roman" w:hAnsi="Times New Roman" w:cs="Times New Roman"/>
          <w:b/>
          <w:bCs/>
          <w:iCs/>
          <w:lang w:val="en-US"/>
        </w:rPr>
        <w:t xml:space="preserve">3.1 </w:t>
      </w:r>
      <w:r w:rsidR="005F0129" w:rsidRPr="00936ADD">
        <w:rPr>
          <w:rFonts w:ascii="Times New Roman" w:hAnsi="Times New Roman" w:cs="Times New Roman"/>
          <w:b/>
          <w:bCs/>
          <w:iCs/>
          <w:lang w:val="en-US"/>
        </w:rPr>
        <w:t>Polymer Electrolyte Fuel Cell</w:t>
      </w:r>
      <w:r w:rsidR="007E1E02" w:rsidRPr="00936ADD">
        <w:rPr>
          <w:rFonts w:ascii="Times New Roman" w:hAnsi="Times New Roman" w:cs="Times New Roman"/>
          <w:b/>
          <w:bCs/>
          <w:iCs/>
          <w:lang w:val="en-US"/>
        </w:rPr>
        <w:t>s</w:t>
      </w:r>
    </w:p>
    <w:p w:rsidR="004C3676" w:rsidRPr="008F23CC" w:rsidRDefault="009F1D2A"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A t</w:t>
      </w:r>
      <w:r w:rsidR="005F0129" w:rsidRPr="008F23CC">
        <w:rPr>
          <w:rFonts w:ascii="Times New Roman" w:hAnsi="Times New Roman" w:cs="Times New Roman"/>
          <w:sz w:val="20"/>
          <w:szCs w:val="20"/>
          <w:lang w:val="en-US"/>
        </w:rPr>
        <w:t>ypical PE</w:t>
      </w:r>
      <w:r w:rsidR="00387A70">
        <w:rPr>
          <w:rFonts w:ascii="Times New Roman" w:hAnsi="Times New Roman" w:cs="Times New Roman"/>
          <w:sz w:val="20"/>
          <w:szCs w:val="20"/>
          <w:lang w:val="en-US"/>
        </w:rPr>
        <w:t xml:space="preserve">M fuel cell </w:t>
      </w:r>
      <w:r w:rsidRPr="008F23CC">
        <w:rPr>
          <w:rFonts w:ascii="Times New Roman" w:hAnsi="Times New Roman" w:cs="Times New Roman"/>
          <w:sz w:val="20"/>
          <w:szCs w:val="20"/>
          <w:lang w:val="en-US"/>
        </w:rPr>
        <w:t xml:space="preserve">assembly includes the polymeric </w:t>
      </w:r>
      <w:r w:rsidR="00387A70">
        <w:rPr>
          <w:rFonts w:ascii="Times New Roman" w:hAnsi="Times New Roman" w:cs="Times New Roman"/>
          <w:sz w:val="20"/>
          <w:szCs w:val="20"/>
          <w:lang w:val="en-US"/>
        </w:rPr>
        <w:t>proton</w:t>
      </w:r>
      <w:r w:rsidR="005F0129" w:rsidRPr="008F23CC">
        <w:rPr>
          <w:rFonts w:ascii="Times New Roman" w:hAnsi="Times New Roman" w:cs="Times New Roman"/>
          <w:sz w:val="20"/>
          <w:szCs w:val="20"/>
          <w:lang w:val="en-US"/>
        </w:rPr>
        <w:t xml:space="preserve"> exchange membrane</w:t>
      </w:r>
      <w:r w:rsidRPr="008F23CC">
        <w:rPr>
          <w:rFonts w:ascii="Times New Roman" w:hAnsi="Times New Roman" w:cs="Times New Roman"/>
          <w:sz w:val="20"/>
          <w:szCs w:val="20"/>
          <w:lang w:val="en-US"/>
        </w:rPr>
        <w:t xml:space="preserve">, on the opposite sides of which two porous electrocatalytic layers (electrodes) are suppressed. </w:t>
      </w:r>
      <w:r w:rsidR="008B4C9A" w:rsidRPr="008F23CC">
        <w:rPr>
          <w:rFonts w:ascii="Times New Roman" w:hAnsi="Times New Roman" w:cs="Times New Roman"/>
          <w:sz w:val="20"/>
          <w:szCs w:val="20"/>
          <w:lang w:val="en-US"/>
        </w:rPr>
        <w:t>Two</w:t>
      </w:r>
      <w:r w:rsidRPr="008F23CC">
        <w:rPr>
          <w:rFonts w:ascii="Times New Roman" w:hAnsi="Times New Roman" w:cs="Times New Roman"/>
          <w:sz w:val="20"/>
          <w:szCs w:val="20"/>
          <w:lang w:val="en-US"/>
        </w:rPr>
        <w:t xml:space="preserve"> conductive and </w:t>
      </w:r>
      <w:r w:rsidR="005F0129" w:rsidRPr="008F23CC">
        <w:rPr>
          <w:rFonts w:ascii="Times New Roman" w:hAnsi="Times New Roman" w:cs="Times New Roman"/>
          <w:sz w:val="20"/>
          <w:szCs w:val="20"/>
          <w:lang w:val="en-US"/>
        </w:rPr>
        <w:t xml:space="preserve">porous </w:t>
      </w:r>
      <w:r w:rsidR="008B4C9A" w:rsidRPr="008F23CC">
        <w:rPr>
          <w:rFonts w:ascii="Times New Roman" w:hAnsi="Times New Roman" w:cs="Times New Roman"/>
          <w:sz w:val="20"/>
          <w:szCs w:val="20"/>
          <w:lang w:val="en-US"/>
        </w:rPr>
        <w:t>collectors are layered over the electrodes in closed conduct to</w:t>
      </w:r>
      <w:r w:rsidRPr="008F23CC">
        <w:rPr>
          <w:rFonts w:ascii="Times New Roman" w:hAnsi="Times New Roman" w:cs="Times New Roman"/>
          <w:sz w:val="20"/>
          <w:szCs w:val="20"/>
          <w:lang w:val="en-US"/>
        </w:rPr>
        <w:t xml:space="preserve"> the </w:t>
      </w:r>
      <w:r w:rsidR="008B4C9A" w:rsidRPr="008F23CC">
        <w:rPr>
          <w:rFonts w:ascii="Times New Roman" w:hAnsi="Times New Roman" w:cs="Times New Roman"/>
          <w:sz w:val="20"/>
          <w:szCs w:val="20"/>
          <w:lang w:val="en-US"/>
        </w:rPr>
        <w:t xml:space="preserve">hard-plate </w:t>
      </w:r>
      <w:r w:rsidRPr="008F23CC">
        <w:rPr>
          <w:rFonts w:ascii="Times New Roman" w:hAnsi="Times New Roman" w:cs="Times New Roman"/>
          <w:sz w:val="20"/>
          <w:szCs w:val="20"/>
          <w:lang w:val="en-US"/>
        </w:rPr>
        <w:t>interconnects</w:t>
      </w:r>
      <w:r w:rsidR="008123A8" w:rsidRPr="008F23CC">
        <w:rPr>
          <w:rFonts w:ascii="Times New Roman" w:hAnsi="Times New Roman" w:cs="Times New Roman"/>
          <w:sz w:val="20"/>
          <w:szCs w:val="20"/>
          <w:lang w:val="en-US"/>
        </w:rPr>
        <w:t>, which</w:t>
      </w:r>
      <w:r w:rsidRPr="008F23CC">
        <w:rPr>
          <w:rFonts w:ascii="Times New Roman" w:hAnsi="Times New Roman" w:cs="Times New Roman"/>
          <w:sz w:val="20"/>
          <w:szCs w:val="20"/>
          <w:lang w:val="en-US"/>
        </w:rPr>
        <w:t xml:space="preserve"> form the reactants and products flow channels</w:t>
      </w:r>
      <w:r w:rsidR="00264997" w:rsidRPr="008F23CC">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1,2</w:t>
      </w:r>
      <w:r w:rsidR="00264997"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r w:rsidR="005768CD" w:rsidRPr="008F23CC">
        <w:rPr>
          <w:rFonts w:ascii="Times New Roman" w:hAnsi="Times New Roman" w:cs="Times New Roman"/>
          <w:sz w:val="20"/>
          <w:szCs w:val="20"/>
          <w:lang w:val="en-US"/>
        </w:rPr>
        <w:t xml:space="preserve">The </w:t>
      </w:r>
      <w:r w:rsidR="00387A70">
        <w:rPr>
          <w:rFonts w:ascii="Times New Roman" w:hAnsi="Times New Roman" w:cs="Times New Roman"/>
          <w:sz w:val="20"/>
          <w:szCs w:val="20"/>
          <w:lang w:val="en-US"/>
        </w:rPr>
        <w:t>proton</w:t>
      </w:r>
      <w:r w:rsidR="005F0129" w:rsidRPr="008F23CC">
        <w:rPr>
          <w:rFonts w:ascii="Times New Roman" w:hAnsi="Times New Roman" w:cs="Times New Roman"/>
          <w:sz w:val="20"/>
          <w:szCs w:val="20"/>
          <w:lang w:val="en-US"/>
        </w:rPr>
        <w:t xml:space="preserve"> exchange membrane </w:t>
      </w:r>
      <w:r w:rsidR="005768CD" w:rsidRPr="008F23CC">
        <w:rPr>
          <w:rFonts w:ascii="Times New Roman" w:hAnsi="Times New Roman" w:cs="Times New Roman"/>
          <w:sz w:val="20"/>
          <w:szCs w:val="20"/>
          <w:lang w:val="en-US"/>
        </w:rPr>
        <w:t>consists</w:t>
      </w:r>
      <w:r w:rsidR="005F0129" w:rsidRPr="008F23CC">
        <w:rPr>
          <w:rFonts w:ascii="Times New Roman" w:hAnsi="Times New Roman" w:cs="Times New Roman"/>
          <w:sz w:val="20"/>
          <w:szCs w:val="20"/>
          <w:lang w:val="en-US"/>
        </w:rPr>
        <w:t xml:space="preserve"> of perfluorosulfonic acid polymer</w:t>
      </w:r>
      <w:r w:rsidR="008123A8"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w:t>
      </w:r>
      <w:r w:rsidR="00F0029E"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Th</w:t>
      </w:r>
      <w:r w:rsidR="00CD2F7F">
        <w:rPr>
          <w:rFonts w:ascii="Times New Roman" w:hAnsi="Times New Roman" w:cs="Times New Roman"/>
          <w:sz w:val="20"/>
          <w:szCs w:val="20"/>
          <w:lang w:val="en-US"/>
        </w:rPr>
        <w:t>ese</w:t>
      </w:r>
      <w:r w:rsidR="005F0129" w:rsidRPr="008F23CC">
        <w:rPr>
          <w:rFonts w:ascii="Times New Roman" w:hAnsi="Times New Roman" w:cs="Times New Roman"/>
          <w:sz w:val="20"/>
          <w:szCs w:val="20"/>
          <w:lang w:val="en-US"/>
        </w:rPr>
        <w:t xml:space="preserve"> material</w:t>
      </w:r>
      <w:r w:rsidR="008123A8" w:rsidRPr="008F23CC">
        <w:rPr>
          <w:rFonts w:ascii="Times New Roman" w:hAnsi="Times New Roman" w:cs="Times New Roman"/>
          <w:sz w:val="20"/>
          <w:szCs w:val="20"/>
          <w:lang w:val="en-US"/>
        </w:rPr>
        <w:t>s are</w:t>
      </w:r>
      <w:r w:rsidR="005768CD" w:rsidRPr="008F23CC">
        <w:rPr>
          <w:rFonts w:ascii="Times New Roman" w:hAnsi="Times New Roman" w:cs="Times New Roman"/>
          <w:sz w:val="20"/>
          <w:szCs w:val="20"/>
          <w:lang w:val="en-US"/>
        </w:rPr>
        <w:t xml:space="preserve"> gas-tight electrical insulator</w:t>
      </w:r>
      <w:r w:rsidR="008123A8" w:rsidRPr="008F23CC">
        <w:rPr>
          <w:rFonts w:ascii="Times New Roman" w:hAnsi="Times New Roman" w:cs="Times New Roman"/>
          <w:sz w:val="20"/>
          <w:szCs w:val="20"/>
          <w:lang w:val="en-US"/>
        </w:rPr>
        <w:t>s</w:t>
      </w:r>
      <w:r w:rsidR="005768CD" w:rsidRPr="008F23CC">
        <w:rPr>
          <w:rFonts w:ascii="Times New Roman" w:hAnsi="Times New Roman" w:cs="Times New Roman"/>
          <w:sz w:val="20"/>
          <w:szCs w:val="20"/>
          <w:lang w:val="en-US"/>
        </w:rPr>
        <w:t>, in which</w:t>
      </w:r>
      <w:r w:rsidR="005F0129" w:rsidRPr="008F23CC">
        <w:rPr>
          <w:rFonts w:ascii="Times New Roman" w:hAnsi="Times New Roman" w:cs="Times New Roman"/>
          <w:sz w:val="20"/>
          <w:szCs w:val="20"/>
          <w:lang w:val="en-US"/>
        </w:rPr>
        <w:t xml:space="preserve"> </w:t>
      </w:r>
      <w:r w:rsidR="005768CD" w:rsidRPr="008F23CC">
        <w:rPr>
          <w:rFonts w:ascii="Times New Roman" w:hAnsi="Times New Roman" w:cs="Times New Roman"/>
          <w:sz w:val="20"/>
          <w:szCs w:val="20"/>
          <w:lang w:val="en-US"/>
        </w:rPr>
        <w:t xml:space="preserve">the ionic </w:t>
      </w:r>
      <w:r w:rsidR="005F0129" w:rsidRPr="008F23CC">
        <w:rPr>
          <w:rFonts w:ascii="Times New Roman" w:hAnsi="Times New Roman" w:cs="Times New Roman"/>
          <w:sz w:val="20"/>
          <w:szCs w:val="20"/>
          <w:lang w:val="en-US"/>
        </w:rPr>
        <w:t>transport is highly dependent on the bound and</w:t>
      </w:r>
      <w:r w:rsidR="00F0029E"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 xml:space="preserve">free water </w:t>
      </w:r>
      <w:r w:rsidR="005768CD" w:rsidRPr="008F23CC">
        <w:rPr>
          <w:rFonts w:ascii="Times New Roman" w:hAnsi="Times New Roman" w:cs="Times New Roman"/>
          <w:sz w:val="20"/>
          <w:szCs w:val="20"/>
          <w:lang w:val="en-US"/>
        </w:rPr>
        <w:t>in the polymer structure</w:t>
      </w:r>
      <w:r w:rsidR="005F0129" w:rsidRPr="008F23CC">
        <w:rPr>
          <w:rFonts w:ascii="Times New Roman" w:hAnsi="Times New Roman" w:cs="Times New Roman"/>
          <w:sz w:val="20"/>
          <w:szCs w:val="20"/>
          <w:lang w:val="en-US"/>
        </w:rPr>
        <w:t>.</w:t>
      </w:r>
      <w:r w:rsidR="00F0029E"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Nafion of the perfluorosulfonic acid family is the most</w:t>
      </w:r>
      <w:r w:rsidR="005F0129" w:rsidRPr="008F23CC">
        <w:rPr>
          <w:rFonts w:ascii="Times New Roman" w:hAnsi="Times New Roman" w:cs="Times New Roman"/>
          <w:sz w:val="20"/>
          <w:szCs w:val="20"/>
          <w:lang w:val="en-US"/>
        </w:rPr>
        <w:t xml:space="preserve"> commonly used material. It</w:t>
      </w:r>
      <w:r w:rsidR="00937B9A"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 xml:space="preserve">Teflon-like structure </w:t>
      </w:r>
      <w:r w:rsidR="005F0129" w:rsidRPr="008F23CC">
        <w:rPr>
          <w:rFonts w:ascii="Times New Roman" w:hAnsi="Times New Roman" w:cs="Times New Roman"/>
          <w:sz w:val="20"/>
          <w:szCs w:val="20"/>
          <w:lang w:val="en-US"/>
        </w:rPr>
        <w:t>is bonded to perfluorinated side chain</w:t>
      </w:r>
      <w:r w:rsidR="00937B9A"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with</w:t>
      </w:r>
      <w:r w:rsidR="00F0029E"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terminal sulfonic acid group</w:t>
      </w:r>
      <w:r w:rsidR="00937B9A"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 xml:space="preserve"> (SO</w:t>
      </w:r>
      <w:r w:rsidR="005F0129" w:rsidRPr="008F23CC">
        <w:rPr>
          <w:rFonts w:ascii="Times New Roman" w:hAnsi="Times New Roman" w:cs="Times New Roman"/>
          <w:sz w:val="20"/>
          <w:szCs w:val="20"/>
          <w:vertAlign w:val="superscript"/>
          <w:lang w:val="en-US"/>
        </w:rPr>
        <w:t>3-</w:t>
      </w:r>
      <w:r w:rsidR="00387A70">
        <w:rPr>
          <w:rFonts w:ascii="Times New Roman" w:hAnsi="Times New Roman" w:cs="Times New Roman"/>
          <w:sz w:val="20"/>
          <w:szCs w:val="20"/>
          <w:lang w:val="en-US"/>
        </w:rPr>
        <w:t>)</w:t>
      </w:r>
      <w:r w:rsidR="005F0129"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T</w:t>
      </w:r>
      <w:r w:rsidR="005F0129" w:rsidRPr="008F23CC">
        <w:rPr>
          <w:rFonts w:ascii="Times New Roman" w:hAnsi="Times New Roman" w:cs="Times New Roman"/>
          <w:sz w:val="20"/>
          <w:szCs w:val="20"/>
          <w:lang w:val="en-US"/>
        </w:rPr>
        <w:t>he</w:t>
      </w:r>
      <w:r w:rsidR="00937B9A" w:rsidRPr="008F23CC">
        <w:rPr>
          <w:rFonts w:ascii="Times New Roman" w:hAnsi="Times New Roman" w:cs="Times New Roman"/>
          <w:sz w:val="20"/>
          <w:szCs w:val="20"/>
          <w:lang w:val="en-US"/>
        </w:rPr>
        <w:t>se groups</w:t>
      </w:r>
      <w:r w:rsidR="005F0129"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are hydrophyllic, and t</w:t>
      </w:r>
      <w:r w:rsidR="005F0129" w:rsidRPr="008F23CC">
        <w:rPr>
          <w:rFonts w:ascii="Times New Roman" w:hAnsi="Times New Roman" w:cs="Times New Roman"/>
          <w:sz w:val="20"/>
          <w:szCs w:val="20"/>
          <w:lang w:val="en-US"/>
        </w:rPr>
        <w:t xml:space="preserve">he degree of </w:t>
      </w:r>
      <w:r w:rsidR="00937B9A" w:rsidRPr="008F23CC">
        <w:rPr>
          <w:rFonts w:ascii="Times New Roman" w:hAnsi="Times New Roman" w:cs="Times New Roman"/>
          <w:sz w:val="20"/>
          <w:szCs w:val="20"/>
          <w:lang w:val="en-US"/>
        </w:rPr>
        <w:t>their hydration</w:t>
      </w:r>
      <w:r w:rsidR="005F0129" w:rsidRPr="008F23CC">
        <w:rPr>
          <w:rFonts w:ascii="Times New Roman" w:hAnsi="Times New Roman" w:cs="Times New Roman"/>
          <w:sz w:val="20"/>
          <w:szCs w:val="20"/>
          <w:lang w:val="en-US"/>
        </w:rPr>
        <w:t xml:space="preserve"> is</w:t>
      </w:r>
      <w:r w:rsidR="00F0029E"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determinative for</w:t>
      </w:r>
      <w:r w:rsidR="005F0129" w:rsidRPr="008F23CC">
        <w:rPr>
          <w:rFonts w:ascii="Times New Roman" w:hAnsi="Times New Roman" w:cs="Times New Roman"/>
          <w:sz w:val="20"/>
          <w:szCs w:val="20"/>
          <w:lang w:val="en-US"/>
        </w:rPr>
        <w:t xml:space="preserve"> </w:t>
      </w:r>
      <w:r w:rsidR="00937B9A" w:rsidRPr="008F23CC">
        <w:rPr>
          <w:rFonts w:ascii="Times New Roman" w:hAnsi="Times New Roman" w:cs="Times New Roman"/>
          <w:sz w:val="20"/>
          <w:szCs w:val="20"/>
          <w:lang w:val="en-US"/>
        </w:rPr>
        <w:t xml:space="preserve">the </w:t>
      </w:r>
      <w:r w:rsidR="008123A8" w:rsidRPr="008F23CC">
        <w:rPr>
          <w:rFonts w:ascii="Times New Roman" w:hAnsi="Times New Roman" w:cs="Times New Roman"/>
          <w:sz w:val="20"/>
          <w:szCs w:val="20"/>
          <w:lang w:val="en-US"/>
        </w:rPr>
        <w:t>ionic</w:t>
      </w:r>
      <w:r w:rsidR="00937B9A"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 xml:space="preserve">conductivity, </w:t>
      </w:r>
      <w:r w:rsidR="00CD2F7F">
        <w:rPr>
          <w:rFonts w:ascii="Times New Roman" w:hAnsi="Times New Roman" w:cs="Times New Roman"/>
          <w:sz w:val="20"/>
          <w:szCs w:val="20"/>
          <w:lang w:val="en-US"/>
        </w:rPr>
        <w:t xml:space="preserve">the </w:t>
      </w:r>
      <w:r w:rsidR="005F0129" w:rsidRPr="008F23CC">
        <w:rPr>
          <w:rFonts w:ascii="Times New Roman" w:hAnsi="Times New Roman" w:cs="Times New Roman"/>
          <w:sz w:val="20"/>
          <w:szCs w:val="20"/>
          <w:lang w:val="en-US"/>
        </w:rPr>
        <w:t xml:space="preserve">gas permeability, and </w:t>
      </w:r>
      <w:r w:rsidR="00CD2F7F">
        <w:rPr>
          <w:rFonts w:ascii="Times New Roman" w:hAnsi="Times New Roman" w:cs="Times New Roman"/>
          <w:sz w:val="20"/>
          <w:szCs w:val="20"/>
          <w:lang w:val="en-US"/>
        </w:rPr>
        <w:t xml:space="preserve">the </w:t>
      </w:r>
      <w:r w:rsidR="00A55B60" w:rsidRPr="008F23CC">
        <w:rPr>
          <w:rFonts w:ascii="Times New Roman" w:hAnsi="Times New Roman" w:cs="Times New Roman"/>
          <w:sz w:val="20"/>
          <w:szCs w:val="20"/>
          <w:lang w:val="en-US"/>
        </w:rPr>
        <w:t>elasticity</w:t>
      </w:r>
      <w:r w:rsidR="00D11295">
        <w:rPr>
          <w:rFonts w:ascii="Times New Roman" w:hAnsi="Times New Roman" w:cs="Times New Roman"/>
          <w:sz w:val="20"/>
          <w:szCs w:val="20"/>
          <w:lang w:val="en-US"/>
        </w:rPr>
        <w:t xml:space="preserve"> [1]</w:t>
      </w:r>
      <w:r w:rsidR="005F0129" w:rsidRPr="008F23CC">
        <w:rPr>
          <w:rFonts w:ascii="Times New Roman" w:hAnsi="Times New Roman" w:cs="Times New Roman"/>
          <w:sz w:val="20"/>
          <w:szCs w:val="20"/>
          <w:lang w:val="en-US"/>
        </w:rPr>
        <w:t>.</w:t>
      </w:r>
      <w:r w:rsidR="00BA568D" w:rsidRPr="008F23CC">
        <w:rPr>
          <w:rFonts w:ascii="Times New Roman" w:hAnsi="Times New Roman" w:cs="Times New Roman"/>
          <w:sz w:val="20"/>
          <w:szCs w:val="20"/>
          <w:lang w:val="en-US"/>
        </w:rPr>
        <w:t xml:space="preserve"> </w:t>
      </w:r>
      <w:r w:rsidR="00387A70">
        <w:rPr>
          <w:rFonts w:ascii="Times New Roman" w:hAnsi="Times New Roman" w:cs="Times New Roman"/>
          <w:sz w:val="20"/>
          <w:szCs w:val="20"/>
          <w:lang w:val="en-US"/>
        </w:rPr>
        <w:t>Nafion membranes exhibit</w:t>
      </w:r>
      <w:r w:rsidR="00BA568D" w:rsidRPr="008F23CC">
        <w:rPr>
          <w:rFonts w:ascii="Times New Roman" w:hAnsi="Times New Roman" w:cs="Times New Roman"/>
          <w:sz w:val="20"/>
          <w:szCs w:val="20"/>
          <w:lang w:val="en-US"/>
        </w:rPr>
        <w:t xml:space="preserve"> high thermal stability and chemical durability against Cl</w:t>
      </w:r>
      <w:r w:rsidR="00BA568D" w:rsidRPr="008F23CC">
        <w:rPr>
          <w:rFonts w:ascii="Times New Roman" w:hAnsi="Times New Roman" w:cs="Times New Roman"/>
          <w:sz w:val="20"/>
          <w:szCs w:val="20"/>
          <w:vertAlign w:val="subscript"/>
          <w:lang w:val="en-US"/>
        </w:rPr>
        <w:t>2</w:t>
      </w:r>
      <w:r w:rsidR="00BA568D" w:rsidRPr="008F23CC">
        <w:rPr>
          <w:rFonts w:ascii="Times New Roman" w:hAnsi="Times New Roman" w:cs="Times New Roman"/>
          <w:sz w:val="20"/>
          <w:szCs w:val="20"/>
          <w:lang w:val="en-US"/>
        </w:rPr>
        <w:t>, H</w:t>
      </w:r>
      <w:r w:rsidR="00BA568D" w:rsidRPr="008F23CC">
        <w:rPr>
          <w:rFonts w:ascii="Times New Roman" w:hAnsi="Times New Roman" w:cs="Times New Roman"/>
          <w:sz w:val="20"/>
          <w:szCs w:val="20"/>
          <w:vertAlign w:val="subscript"/>
          <w:lang w:val="en-US"/>
        </w:rPr>
        <w:t>2</w:t>
      </w:r>
      <w:r w:rsidR="00BA568D" w:rsidRPr="008F23CC">
        <w:rPr>
          <w:rFonts w:ascii="Times New Roman" w:hAnsi="Times New Roman" w:cs="Times New Roman"/>
          <w:sz w:val="20"/>
          <w:szCs w:val="20"/>
          <w:lang w:val="en-US"/>
        </w:rPr>
        <w:t>, and O</w:t>
      </w:r>
      <w:r w:rsidR="00BA568D" w:rsidRPr="008F23CC">
        <w:rPr>
          <w:rFonts w:ascii="Times New Roman" w:hAnsi="Times New Roman" w:cs="Times New Roman"/>
          <w:sz w:val="20"/>
          <w:szCs w:val="20"/>
          <w:vertAlign w:val="subscript"/>
          <w:lang w:val="en-US"/>
        </w:rPr>
        <w:t>2</w:t>
      </w:r>
      <w:r w:rsidR="00BA568D" w:rsidRPr="008F23CC">
        <w:rPr>
          <w:rFonts w:ascii="Times New Roman" w:hAnsi="Times New Roman" w:cs="Times New Roman"/>
          <w:sz w:val="20"/>
          <w:szCs w:val="20"/>
          <w:lang w:val="en-US"/>
        </w:rPr>
        <w:t xml:space="preserve"> attacks at</w:t>
      </w:r>
      <w:r w:rsidR="00387A70">
        <w:rPr>
          <w:rFonts w:ascii="Times New Roman" w:hAnsi="Times New Roman" w:cs="Times New Roman"/>
          <w:sz w:val="20"/>
          <w:szCs w:val="20"/>
          <w:lang w:val="en-US"/>
        </w:rPr>
        <w:t xml:space="preserve"> temperatures up to 125°C </w:t>
      </w:r>
      <w:r w:rsidR="00D11295">
        <w:rPr>
          <w:rFonts w:ascii="Times New Roman" w:hAnsi="Times New Roman" w:cs="Times New Roman"/>
          <w:sz w:val="20"/>
          <w:szCs w:val="20"/>
          <w:lang w:val="en-US"/>
        </w:rPr>
        <w:t>[1,4,5]</w:t>
      </w:r>
      <w:r w:rsidR="00BA568D" w:rsidRPr="008F23CC">
        <w:rPr>
          <w:rFonts w:ascii="Times New Roman" w:hAnsi="Times New Roman" w:cs="Times New Roman"/>
          <w:sz w:val="20"/>
          <w:szCs w:val="20"/>
          <w:lang w:val="en-US"/>
        </w:rPr>
        <w:t xml:space="preserve">, </w:t>
      </w:r>
      <w:r w:rsidR="00387A70">
        <w:rPr>
          <w:rFonts w:ascii="Times New Roman" w:hAnsi="Times New Roman" w:cs="Times New Roman"/>
          <w:sz w:val="20"/>
          <w:szCs w:val="20"/>
          <w:lang w:val="en-US"/>
        </w:rPr>
        <w:t xml:space="preserve">and their operational lifetime </w:t>
      </w:r>
      <w:r w:rsidR="00BA568D" w:rsidRPr="008F23CC">
        <w:rPr>
          <w:rFonts w:ascii="Times New Roman" w:hAnsi="Times New Roman" w:cs="Times New Roman"/>
          <w:sz w:val="20"/>
          <w:szCs w:val="20"/>
          <w:lang w:val="en-US"/>
        </w:rPr>
        <w:t>has been proved for over 50,000 hours.</w:t>
      </w:r>
      <w:r w:rsidR="004C3676" w:rsidRPr="008F23CC">
        <w:rPr>
          <w:rFonts w:ascii="Times New Roman" w:hAnsi="Times New Roman" w:cs="Times New Roman"/>
          <w:sz w:val="20"/>
          <w:szCs w:val="20"/>
          <w:lang w:val="en-US"/>
        </w:rPr>
        <w:t xml:space="preserve"> </w:t>
      </w:r>
      <w:r w:rsidR="00CD2F7F">
        <w:rPr>
          <w:rFonts w:ascii="Times New Roman" w:hAnsi="Times New Roman" w:cs="Times New Roman"/>
          <w:color w:val="000000"/>
          <w:sz w:val="20"/>
          <w:szCs w:val="20"/>
          <w:lang w:val="en-US"/>
        </w:rPr>
        <w:t xml:space="preserve">Apart Nafion, </w:t>
      </w:r>
      <w:r w:rsidR="00683C17" w:rsidRPr="008F23CC">
        <w:rPr>
          <w:rFonts w:ascii="Times New Roman" w:hAnsi="Times New Roman" w:cs="Times New Roman"/>
          <w:color w:val="000000"/>
          <w:sz w:val="20"/>
          <w:szCs w:val="20"/>
          <w:lang w:val="en-US"/>
        </w:rPr>
        <w:t xml:space="preserve">research has </w:t>
      </w:r>
      <w:r w:rsidR="00CD2F7F">
        <w:rPr>
          <w:rFonts w:ascii="Times New Roman" w:hAnsi="Times New Roman" w:cs="Times New Roman"/>
          <w:color w:val="000000"/>
          <w:sz w:val="20"/>
          <w:szCs w:val="20"/>
          <w:lang w:val="en-US"/>
        </w:rPr>
        <w:t xml:space="preserve">also </w:t>
      </w:r>
      <w:r w:rsidR="00683C17" w:rsidRPr="008F23CC">
        <w:rPr>
          <w:rFonts w:ascii="Times New Roman" w:hAnsi="Times New Roman" w:cs="Times New Roman"/>
          <w:color w:val="000000"/>
          <w:sz w:val="20"/>
          <w:szCs w:val="20"/>
          <w:lang w:val="en-US"/>
        </w:rPr>
        <w:t xml:space="preserve">focused on polybenzimidizole (PBI) electrolytes </w:t>
      </w:r>
      <w:r w:rsidR="00683C17" w:rsidRPr="008F23CC">
        <w:rPr>
          <w:rFonts w:ascii="Times New Roman" w:hAnsi="Times New Roman" w:cs="Times New Roman"/>
          <w:sz w:val="20"/>
          <w:szCs w:val="20"/>
          <w:lang w:val="en-US"/>
        </w:rPr>
        <w:t>[</w:t>
      </w:r>
      <w:r w:rsidR="00D11295">
        <w:rPr>
          <w:rFonts w:ascii="Times New Roman" w:hAnsi="Times New Roman" w:cs="Times New Roman"/>
          <w:sz w:val="20"/>
          <w:szCs w:val="20"/>
          <w:lang w:val="en-US"/>
        </w:rPr>
        <w:t>2,6</w:t>
      </w:r>
      <w:r w:rsidR="00683C17" w:rsidRPr="008F23CC">
        <w:rPr>
          <w:rFonts w:ascii="Times New Roman" w:hAnsi="Times New Roman" w:cs="Times New Roman"/>
          <w:sz w:val="20"/>
          <w:szCs w:val="20"/>
          <w:lang w:val="en-US"/>
        </w:rPr>
        <w:t>]</w:t>
      </w:r>
      <w:r w:rsidR="00683C17" w:rsidRPr="008F23CC">
        <w:rPr>
          <w:rFonts w:ascii="Times New Roman" w:hAnsi="Times New Roman" w:cs="Times New Roman"/>
          <w:color w:val="000000"/>
          <w:sz w:val="20"/>
          <w:szCs w:val="20"/>
          <w:lang w:val="en-US"/>
        </w:rPr>
        <w:t xml:space="preserve">, which can operate at temperatures over 160°C, and annihilate CO poisoning </w:t>
      </w:r>
      <w:r w:rsidR="00D11295">
        <w:rPr>
          <w:rFonts w:ascii="Times New Roman" w:hAnsi="Times New Roman" w:cs="Times New Roman"/>
          <w:color w:val="000000"/>
          <w:sz w:val="20"/>
          <w:szCs w:val="20"/>
          <w:lang w:val="en-US"/>
        </w:rPr>
        <w:t>[7,8]</w:t>
      </w:r>
      <w:r w:rsidR="00683C17" w:rsidRPr="008F23CC">
        <w:rPr>
          <w:rFonts w:ascii="Times New Roman" w:hAnsi="Times New Roman" w:cs="Times New Roman"/>
          <w:color w:val="000000"/>
          <w:sz w:val="20"/>
          <w:szCs w:val="20"/>
          <w:lang w:val="en-US"/>
        </w:rPr>
        <w:t>.</w:t>
      </w:r>
    </w:p>
    <w:p w:rsidR="004C3676" w:rsidRPr="008F23CC" w:rsidRDefault="00BF28BA"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electrode-catalyst layer</w:t>
      </w:r>
      <w:r w:rsidR="00387A70">
        <w:rPr>
          <w:rFonts w:ascii="Times New Roman" w:hAnsi="Times New Roman" w:cs="Times New Roman"/>
          <w:sz w:val="20"/>
          <w:szCs w:val="20"/>
          <w:lang w:val="en-US"/>
        </w:rPr>
        <w:t xml:space="preserve">, </w:t>
      </w:r>
      <w:r w:rsidR="00387A70" w:rsidRPr="008F23CC">
        <w:rPr>
          <w:rFonts w:ascii="Times New Roman" w:hAnsi="Times New Roman" w:cs="Times New Roman"/>
          <w:color w:val="000000"/>
          <w:sz w:val="20"/>
          <w:szCs w:val="20"/>
          <w:lang w:val="en-US"/>
        </w:rPr>
        <w:t>for both the anode and the cathode</w:t>
      </w:r>
      <w:r w:rsidR="00387A70">
        <w:rPr>
          <w:rFonts w:ascii="Times New Roman" w:hAnsi="Times New Roman" w:cs="Times New Roman"/>
          <w:color w:val="000000"/>
          <w:sz w:val="20"/>
          <w:szCs w:val="20"/>
          <w:lang w:val="en-US"/>
        </w:rPr>
        <w:t>,</w:t>
      </w:r>
      <w:r w:rsidR="00387A70" w:rsidRPr="008F23CC">
        <w:rPr>
          <w:rFonts w:ascii="Times New Roman" w:hAnsi="Times New Roman" w:cs="Times New Roman"/>
          <w:color w:val="000000"/>
          <w:sz w:val="20"/>
          <w:szCs w:val="20"/>
          <w:lang w:val="en-US"/>
        </w:rPr>
        <w:t xml:space="preserve"> </w:t>
      </w:r>
      <w:r w:rsidRPr="008F23CC">
        <w:rPr>
          <w:rFonts w:ascii="Times New Roman" w:hAnsi="Times New Roman" w:cs="Times New Roman"/>
          <w:sz w:val="20"/>
          <w:szCs w:val="20"/>
          <w:lang w:val="en-US"/>
        </w:rPr>
        <w:t>is in intimate contact wit</w:t>
      </w:r>
      <w:r w:rsidR="00CD2F7F">
        <w:rPr>
          <w:rFonts w:ascii="Times New Roman" w:hAnsi="Times New Roman" w:cs="Times New Roman"/>
          <w:sz w:val="20"/>
          <w:szCs w:val="20"/>
          <w:lang w:val="en-US"/>
        </w:rPr>
        <w:t>h the membrane and consists of</w:t>
      </w:r>
      <w:r w:rsidRPr="008F23CC">
        <w:rPr>
          <w:rFonts w:ascii="Times New Roman" w:hAnsi="Times New Roman" w:cs="Times New Roman"/>
          <w:sz w:val="20"/>
          <w:szCs w:val="20"/>
          <w:lang w:val="en-US"/>
        </w:rPr>
        <w:t xml:space="preserve"> </w:t>
      </w:r>
      <w:r w:rsidR="008123A8" w:rsidRPr="008F23CC">
        <w:rPr>
          <w:rFonts w:ascii="Times New Roman" w:hAnsi="Times New Roman" w:cs="Times New Roman"/>
          <w:sz w:val="20"/>
          <w:szCs w:val="20"/>
          <w:lang w:val="en-US"/>
        </w:rPr>
        <w:t xml:space="preserve">micro-dispersed </w:t>
      </w:r>
      <w:r w:rsidR="00387A70">
        <w:rPr>
          <w:rFonts w:ascii="Times New Roman" w:hAnsi="Times New Roman" w:cs="Times New Roman"/>
          <w:sz w:val="20"/>
          <w:szCs w:val="20"/>
          <w:lang w:val="en-US"/>
        </w:rPr>
        <w:t>platinum</w:t>
      </w:r>
      <w:r w:rsidRPr="008F23CC">
        <w:rPr>
          <w:rFonts w:ascii="Times New Roman" w:hAnsi="Times New Roman" w:cs="Times New Roman"/>
          <w:sz w:val="20"/>
          <w:szCs w:val="20"/>
          <w:lang w:val="en-US"/>
        </w:rPr>
        <w:t xml:space="preserve"> in a binder. The degree of intimacy between its particles and the membrane is crucial for the optimal proton mobility. The binder stabilizes the catalytic particles within the electrode structure and could be either hydrophobic (usually polytetrafluoroethylene) or hydrophyllic (usually perfluorosulfonic acid). </w:t>
      </w:r>
      <w:r w:rsidR="004C3676" w:rsidRPr="008F23CC">
        <w:rPr>
          <w:rFonts w:ascii="Times New Roman" w:hAnsi="Times New Roman" w:cs="Times New Roman"/>
          <w:sz w:val="20"/>
          <w:szCs w:val="20"/>
          <w:lang w:val="en-US"/>
        </w:rPr>
        <w:t>Platinum loading</w:t>
      </w:r>
      <w:r w:rsidR="00CD2F7F">
        <w:rPr>
          <w:rFonts w:ascii="Times New Roman" w:hAnsi="Times New Roman" w:cs="Times New Roman"/>
          <w:sz w:val="20"/>
          <w:szCs w:val="20"/>
          <w:lang w:val="en-US"/>
        </w:rPr>
        <w:t>, an important cost factor for PEFCs,</w:t>
      </w:r>
      <w:r w:rsidR="004C3676" w:rsidRPr="008F23CC">
        <w:rPr>
          <w:rFonts w:ascii="Times New Roman" w:hAnsi="Times New Roman" w:cs="Times New Roman"/>
          <w:sz w:val="20"/>
          <w:szCs w:val="20"/>
          <w:lang w:val="en-US"/>
        </w:rPr>
        <w:t xml:space="preserve"> has decreased to 1.0 mg Pt/ cm</w:t>
      </w:r>
      <w:r w:rsidR="004C3676" w:rsidRPr="008F23CC">
        <w:rPr>
          <w:rFonts w:ascii="Times New Roman" w:hAnsi="Times New Roman" w:cs="Times New Roman"/>
          <w:sz w:val="20"/>
          <w:szCs w:val="20"/>
          <w:vertAlign w:val="superscript"/>
          <w:lang w:val="en-US"/>
        </w:rPr>
        <w:t>2</w:t>
      </w:r>
      <w:r w:rsidR="004C3676" w:rsidRPr="008F23CC">
        <w:rPr>
          <w:rFonts w:ascii="Times New Roman" w:hAnsi="Times New Roman" w:cs="Times New Roman"/>
          <w:sz w:val="20"/>
          <w:szCs w:val="20"/>
          <w:lang w:val="en-US"/>
        </w:rPr>
        <w:t xml:space="preserve"> of membrane (total on anode and cathode) </w:t>
      </w:r>
      <w:r w:rsidR="008123A8" w:rsidRPr="008F23CC">
        <w:rPr>
          <w:rFonts w:ascii="Times New Roman" w:hAnsi="Times New Roman" w:cs="Times New Roman"/>
          <w:sz w:val="20"/>
          <w:szCs w:val="20"/>
          <w:lang w:val="en-US"/>
        </w:rPr>
        <w:t>–</w:t>
      </w:r>
      <w:r w:rsidR="004C3676" w:rsidRPr="008F23CC">
        <w:rPr>
          <w:rFonts w:ascii="Times New Roman" w:hAnsi="Times New Roman" w:cs="Times New Roman"/>
          <w:sz w:val="20"/>
          <w:szCs w:val="20"/>
          <w:lang w:val="en-US"/>
        </w:rPr>
        <w:t xml:space="preserve"> </w:t>
      </w:r>
      <w:r w:rsidR="008123A8" w:rsidRPr="008F23CC">
        <w:rPr>
          <w:rFonts w:ascii="Times New Roman" w:hAnsi="Times New Roman" w:cs="Times New Roman"/>
          <w:sz w:val="20"/>
          <w:szCs w:val="20"/>
          <w:lang w:val="en-US"/>
        </w:rPr>
        <w:t xml:space="preserve">from </w:t>
      </w:r>
      <w:r w:rsidR="004C3676" w:rsidRPr="008F23CC">
        <w:rPr>
          <w:rFonts w:ascii="Times New Roman" w:hAnsi="Times New Roman" w:cs="Times New Roman"/>
          <w:sz w:val="20"/>
          <w:szCs w:val="20"/>
          <w:lang w:val="en-US"/>
        </w:rPr>
        <w:t xml:space="preserve">2.0 </w:t>
      </w:r>
      <w:r w:rsidR="008123A8" w:rsidRPr="008F23CC">
        <w:rPr>
          <w:rFonts w:ascii="Times New Roman" w:hAnsi="Times New Roman" w:cs="Times New Roman"/>
          <w:sz w:val="20"/>
          <w:szCs w:val="20"/>
          <w:lang w:val="en-US"/>
        </w:rPr>
        <w:t>–</w:t>
      </w:r>
      <w:r w:rsidR="004C3676" w:rsidRPr="008F23CC">
        <w:rPr>
          <w:rFonts w:ascii="Times New Roman" w:hAnsi="Times New Roman" w:cs="Times New Roman"/>
          <w:sz w:val="20"/>
          <w:szCs w:val="20"/>
          <w:lang w:val="en-US"/>
        </w:rPr>
        <w:t xml:space="preserve"> 4.0 mg Pt/cm</w:t>
      </w:r>
      <w:r w:rsidR="004C3676" w:rsidRPr="008F23CC">
        <w:rPr>
          <w:rFonts w:ascii="Times New Roman" w:hAnsi="Times New Roman" w:cs="Times New Roman"/>
          <w:sz w:val="20"/>
          <w:szCs w:val="20"/>
          <w:vertAlign w:val="superscript"/>
          <w:lang w:val="en-US"/>
        </w:rPr>
        <w:t>2</w:t>
      </w:r>
      <w:r w:rsidR="00D11295">
        <w:rPr>
          <w:rFonts w:ascii="Times New Roman" w:hAnsi="Times New Roman" w:cs="Times New Roman"/>
          <w:sz w:val="20"/>
          <w:szCs w:val="20"/>
          <w:vertAlign w:val="superscript"/>
          <w:lang w:val="en-US"/>
        </w:rPr>
        <w:t xml:space="preserve"> </w:t>
      </w:r>
      <w:r w:rsidR="00D11295" w:rsidRPr="00D11295">
        <w:rPr>
          <w:rFonts w:ascii="Times New Roman" w:hAnsi="Times New Roman" w:cs="Times New Roman"/>
          <w:sz w:val="20"/>
          <w:szCs w:val="20"/>
          <w:lang w:val="en-US"/>
        </w:rPr>
        <w:t>[1]</w:t>
      </w:r>
      <w:r w:rsidR="004C3676" w:rsidRPr="008F23CC">
        <w:rPr>
          <w:rFonts w:ascii="Times New Roman" w:hAnsi="Times New Roman" w:cs="Times New Roman"/>
          <w:sz w:val="20"/>
          <w:szCs w:val="20"/>
          <w:lang w:val="en-US"/>
        </w:rPr>
        <w:t>.</w:t>
      </w:r>
    </w:p>
    <w:p w:rsidR="00417C0A" w:rsidRPr="008F23CC" w:rsidRDefault="005F0129"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w:t>
      </w:r>
      <w:r w:rsidR="00A55B60" w:rsidRPr="008F23CC">
        <w:rPr>
          <w:rFonts w:ascii="Times New Roman" w:hAnsi="Times New Roman" w:cs="Times New Roman"/>
          <w:sz w:val="20"/>
          <w:szCs w:val="20"/>
          <w:lang w:val="en-US"/>
        </w:rPr>
        <w:t>Nafion</w:t>
      </w:r>
      <w:r w:rsidRPr="008F23CC">
        <w:rPr>
          <w:rFonts w:ascii="Times New Roman" w:hAnsi="Times New Roman" w:cs="Times New Roman"/>
          <w:sz w:val="20"/>
          <w:szCs w:val="20"/>
          <w:lang w:val="en-US"/>
        </w:rPr>
        <w:t xml:space="preserve"> membrane is sandwiched between two porous </w:t>
      </w:r>
      <w:r w:rsidR="00A55B60" w:rsidRPr="008F23CC">
        <w:rPr>
          <w:rFonts w:ascii="Times New Roman" w:hAnsi="Times New Roman" w:cs="Times New Roman"/>
          <w:sz w:val="20"/>
          <w:szCs w:val="20"/>
          <w:lang w:val="en-US"/>
        </w:rPr>
        <w:t>and conductive carbon-based cloth</w:t>
      </w:r>
      <w:r w:rsidR="008123A8" w:rsidRPr="008F23CC">
        <w:rPr>
          <w:rFonts w:ascii="Times New Roman" w:hAnsi="Times New Roman" w:cs="Times New Roman"/>
          <w:sz w:val="20"/>
          <w:szCs w:val="20"/>
          <w:lang w:val="en-US"/>
        </w:rPr>
        <w:t>s</w:t>
      </w:r>
      <w:r w:rsidR="00A55B60" w:rsidRPr="008F23CC">
        <w:rPr>
          <w:rFonts w:ascii="Times New Roman" w:hAnsi="Times New Roman" w:cs="Times New Roman"/>
          <w:sz w:val="20"/>
          <w:szCs w:val="20"/>
          <w:lang w:val="en-US"/>
        </w:rPr>
        <w:t xml:space="preserve">, which support the membrane, diffuse the gaseous reactants and products and collects or supplies the electrons. </w:t>
      </w:r>
      <w:r w:rsidRPr="008F23CC">
        <w:rPr>
          <w:rFonts w:ascii="Times New Roman" w:hAnsi="Times New Roman" w:cs="Times New Roman"/>
          <w:sz w:val="20"/>
          <w:szCs w:val="20"/>
          <w:lang w:val="en-US"/>
        </w:rPr>
        <w:t>Th</w:t>
      </w:r>
      <w:r w:rsidR="00A55B60" w:rsidRPr="008F23CC">
        <w:rPr>
          <w:rFonts w:ascii="Times New Roman" w:hAnsi="Times New Roman" w:cs="Times New Roman"/>
          <w:sz w:val="20"/>
          <w:szCs w:val="20"/>
          <w:lang w:val="en-US"/>
        </w:rPr>
        <w:t>is</w:t>
      </w:r>
      <w:r w:rsidRPr="008F23CC">
        <w:rPr>
          <w:rFonts w:ascii="Times New Roman" w:hAnsi="Times New Roman" w:cs="Times New Roman"/>
          <w:sz w:val="20"/>
          <w:szCs w:val="20"/>
          <w:lang w:val="en-US"/>
        </w:rPr>
        <w:t xml:space="preserve"> layer incorporates a hydrophobic material</w:t>
      </w:r>
      <w:r w:rsidR="00A55B60" w:rsidRPr="008F23CC">
        <w:rPr>
          <w:rFonts w:ascii="Times New Roman" w:hAnsi="Times New Roman" w:cs="Times New Roman"/>
          <w:sz w:val="20"/>
          <w:szCs w:val="20"/>
          <w:lang w:val="en-US"/>
        </w:rPr>
        <w:t xml:space="preserve"> (usually </w:t>
      </w:r>
      <w:r w:rsidRPr="008F23CC">
        <w:rPr>
          <w:rFonts w:ascii="Times New Roman" w:hAnsi="Times New Roman" w:cs="Times New Roman"/>
          <w:sz w:val="20"/>
          <w:szCs w:val="20"/>
          <w:lang w:val="en-US"/>
        </w:rPr>
        <w:t>polytetrafluoroethylene</w:t>
      </w:r>
      <w:r w:rsidR="00A55B6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to prevent </w:t>
      </w:r>
      <w:r w:rsidR="00A55B60" w:rsidRPr="008F23CC">
        <w:rPr>
          <w:rFonts w:ascii="Times New Roman" w:hAnsi="Times New Roman" w:cs="Times New Roman"/>
          <w:sz w:val="20"/>
          <w:szCs w:val="20"/>
          <w:lang w:val="en-US"/>
        </w:rPr>
        <w:t>withholding</w:t>
      </w:r>
      <w:r w:rsidRPr="008F23CC">
        <w:rPr>
          <w:rFonts w:ascii="Times New Roman" w:hAnsi="Times New Roman" w:cs="Times New Roman"/>
          <w:sz w:val="20"/>
          <w:szCs w:val="20"/>
          <w:lang w:val="en-US"/>
        </w:rPr>
        <w:t xml:space="preserve"> </w:t>
      </w:r>
      <w:r w:rsidR="008123A8" w:rsidRPr="008F23CC">
        <w:rPr>
          <w:rFonts w:ascii="Times New Roman" w:hAnsi="Times New Roman" w:cs="Times New Roman"/>
          <w:sz w:val="20"/>
          <w:szCs w:val="20"/>
          <w:lang w:val="en-US"/>
        </w:rPr>
        <w:t xml:space="preserve">water </w:t>
      </w:r>
      <w:r w:rsidRPr="008F23CC">
        <w:rPr>
          <w:rFonts w:ascii="Times New Roman" w:hAnsi="Times New Roman" w:cs="Times New Roman"/>
          <w:sz w:val="20"/>
          <w:szCs w:val="20"/>
          <w:lang w:val="en-US"/>
        </w:rPr>
        <w:t xml:space="preserve">within </w:t>
      </w:r>
      <w:r w:rsidR="00A55B60" w:rsidRPr="008F23CC">
        <w:rPr>
          <w:rFonts w:ascii="Times New Roman" w:hAnsi="Times New Roman" w:cs="Times New Roman"/>
          <w:sz w:val="20"/>
          <w:szCs w:val="20"/>
          <w:lang w:val="en-US"/>
        </w:rPr>
        <w:t>its</w:t>
      </w:r>
      <w:r w:rsidRPr="008F23CC">
        <w:rPr>
          <w:rFonts w:ascii="Times New Roman" w:hAnsi="Times New Roman" w:cs="Times New Roman"/>
          <w:sz w:val="20"/>
          <w:szCs w:val="20"/>
          <w:lang w:val="en-US"/>
        </w:rPr>
        <w:t xml:space="preserve"> pore</w:t>
      </w:r>
      <w:r w:rsidR="00A55B60" w:rsidRPr="008F23CC">
        <w:rPr>
          <w:rFonts w:ascii="Times New Roman" w:hAnsi="Times New Roman" w:cs="Times New Roman"/>
          <w:sz w:val="20"/>
          <w:szCs w:val="20"/>
          <w:lang w:val="en-US"/>
        </w:rPr>
        <w:t>s</w:t>
      </w:r>
      <w:r w:rsidR="008123A8" w:rsidRPr="008F23CC">
        <w:rPr>
          <w:rFonts w:ascii="Times New Roman" w:hAnsi="Times New Roman" w:cs="Times New Roman"/>
          <w:sz w:val="20"/>
          <w:szCs w:val="20"/>
          <w:lang w:val="en-US"/>
        </w:rPr>
        <w:t xml:space="preserve">, </w:t>
      </w:r>
      <w:r w:rsidR="00CD2F7F">
        <w:rPr>
          <w:rFonts w:ascii="Times New Roman" w:hAnsi="Times New Roman" w:cs="Times New Roman"/>
          <w:sz w:val="20"/>
          <w:szCs w:val="20"/>
          <w:lang w:val="en-US"/>
        </w:rPr>
        <w:t>and</w:t>
      </w:r>
      <w:r w:rsidR="00977ED6" w:rsidRPr="008F23CC">
        <w:rPr>
          <w:rFonts w:ascii="Times New Roman" w:hAnsi="Times New Roman" w:cs="Times New Roman"/>
          <w:sz w:val="20"/>
          <w:szCs w:val="20"/>
          <w:lang w:val="en-US"/>
        </w:rPr>
        <w:t xml:space="preserve"> </w:t>
      </w:r>
      <w:r w:rsidR="008123A8" w:rsidRPr="008F23CC">
        <w:rPr>
          <w:rFonts w:ascii="Times New Roman" w:hAnsi="Times New Roman" w:cs="Times New Roman"/>
          <w:sz w:val="20"/>
          <w:szCs w:val="20"/>
          <w:lang w:val="en-US"/>
        </w:rPr>
        <w:t>to facilitate</w:t>
      </w:r>
      <w:r w:rsidR="00977ED6" w:rsidRPr="008F23CC">
        <w:rPr>
          <w:rFonts w:ascii="Times New Roman" w:hAnsi="Times New Roman" w:cs="Times New Roman"/>
          <w:sz w:val="20"/>
          <w:szCs w:val="20"/>
          <w:lang w:val="en-US"/>
        </w:rPr>
        <w:t xml:space="preserve"> the removal of product water</w:t>
      </w:r>
      <w:r w:rsidR="00CD2F7F" w:rsidRPr="00CD2F7F">
        <w:rPr>
          <w:rFonts w:ascii="Times New Roman" w:hAnsi="Times New Roman" w:cs="Times New Roman"/>
          <w:sz w:val="20"/>
          <w:szCs w:val="20"/>
          <w:lang w:val="en-US"/>
        </w:rPr>
        <w:t xml:space="preserve"> </w:t>
      </w:r>
      <w:r w:rsidR="00CD2F7F" w:rsidRPr="008F23CC">
        <w:rPr>
          <w:rFonts w:ascii="Times New Roman" w:hAnsi="Times New Roman" w:cs="Times New Roman"/>
          <w:sz w:val="20"/>
          <w:szCs w:val="20"/>
          <w:lang w:val="en-US"/>
        </w:rPr>
        <w:t>in the cathode</w:t>
      </w:r>
      <w:r w:rsidRPr="008F23CC">
        <w:rPr>
          <w:rFonts w:ascii="Times New Roman" w:hAnsi="Times New Roman" w:cs="Times New Roman"/>
          <w:sz w:val="20"/>
          <w:szCs w:val="20"/>
          <w:lang w:val="en-US"/>
        </w:rPr>
        <w:t xml:space="preserve">. </w:t>
      </w:r>
      <w:r w:rsidR="005A7604" w:rsidRPr="008F23CC">
        <w:rPr>
          <w:rFonts w:ascii="Times New Roman" w:hAnsi="Times New Roman" w:cs="Times New Roman"/>
          <w:color w:val="000000"/>
          <w:sz w:val="20"/>
          <w:szCs w:val="20"/>
          <w:lang w:val="en-US"/>
        </w:rPr>
        <w:t xml:space="preserve">The current collecting cloth </w:t>
      </w:r>
      <w:r w:rsidR="008123A8" w:rsidRPr="008F23CC">
        <w:rPr>
          <w:rFonts w:ascii="Times New Roman" w:hAnsi="Times New Roman" w:cs="Times New Roman"/>
          <w:color w:val="000000"/>
          <w:sz w:val="20"/>
          <w:szCs w:val="20"/>
          <w:lang w:val="en-US"/>
        </w:rPr>
        <w:t>is</w:t>
      </w:r>
      <w:r w:rsidR="005A7604" w:rsidRPr="008F23CC">
        <w:rPr>
          <w:rFonts w:ascii="Times New Roman" w:hAnsi="Times New Roman" w:cs="Times New Roman"/>
          <w:color w:val="000000"/>
          <w:sz w:val="20"/>
          <w:szCs w:val="20"/>
          <w:lang w:val="en-US"/>
        </w:rPr>
        <w:t xml:space="preserve"> in closed contact (the membrane-electrode-cloth assembly is suppressed between) with interconnect</w:t>
      </w:r>
      <w:r w:rsidR="004C3676" w:rsidRPr="008F23CC">
        <w:rPr>
          <w:rFonts w:ascii="Times New Roman" w:hAnsi="Times New Roman" w:cs="Times New Roman"/>
          <w:color w:val="000000"/>
          <w:sz w:val="20"/>
          <w:szCs w:val="20"/>
          <w:lang w:val="en-US"/>
        </w:rPr>
        <w:t>ing</w:t>
      </w:r>
      <w:r w:rsidR="005A7604" w:rsidRPr="008F23CC">
        <w:rPr>
          <w:rFonts w:ascii="Times New Roman" w:hAnsi="Times New Roman" w:cs="Times New Roman"/>
          <w:color w:val="000000"/>
          <w:sz w:val="20"/>
          <w:szCs w:val="20"/>
          <w:lang w:val="en-US"/>
        </w:rPr>
        <w:t xml:space="preserve"> </w:t>
      </w:r>
      <w:r w:rsidR="004C3676" w:rsidRPr="008F23CC">
        <w:rPr>
          <w:rFonts w:ascii="Times New Roman" w:hAnsi="Times New Roman" w:cs="Times New Roman"/>
          <w:sz w:val="20"/>
          <w:szCs w:val="20"/>
          <w:lang w:val="en-US"/>
        </w:rPr>
        <w:t xml:space="preserve">carbon composite </w:t>
      </w:r>
      <w:r w:rsidR="005A7604" w:rsidRPr="008F23CC">
        <w:rPr>
          <w:rFonts w:ascii="Times New Roman" w:hAnsi="Times New Roman" w:cs="Times New Roman"/>
          <w:color w:val="000000"/>
          <w:sz w:val="20"/>
          <w:szCs w:val="20"/>
          <w:lang w:val="en-US"/>
        </w:rPr>
        <w:t xml:space="preserve">plates, </w:t>
      </w:r>
      <w:r w:rsidR="004C3676" w:rsidRPr="008F23CC">
        <w:rPr>
          <w:rFonts w:ascii="Times New Roman" w:hAnsi="Times New Roman" w:cs="Times New Roman"/>
          <w:sz w:val="20"/>
          <w:szCs w:val="20"/>
          <w:lang w:val="en-US"/>
        </w:rPr>
        <w:t xml:space="preserve">for current collection, </w:t>
      </w:r>
      <w:r w:rsidR="00BC1483" w:rsidRPr="008F23CC">
        <w:rPr>
          <w:rFonts w:ascii="Times New Roman" w:hAnsi="Times New Roman" w:cs="Times New Roman"/>
          <w:sz w:val="20"/>
          <w:szCs w:val="20"/>
          <w:lang w:val="en-US"/>
        </w:rPr>
        <w:t xml:space="preserve">gas tightness, </w:t>
      </w:r>
      <w:r w:rsidR="004C3676" w:rsidRPr="008F23CC">
        <w:rPr>
          <w:rFonts w:ascii="Times New Roman" w:hAnsi="Times New Roman" w:cs="Times New Roman"/>
          <w:sz w:val="20"/>
          <w:szCs w:val="20"/>
          <w:lang w:val="en-US"/>
        </w:rPr>
        <w:t>gas distribution, and thermal management.</w:t>
      </w:r>
      <w:r w:rsidR="00A43355" w:rsidRPr="008F23CC">
        <w:rPr>
          <w:rFonts w:ascii="Times New Roman" w:hAnsi="Times New Roman" w:cs="Times New Roman"/>
          <w:sz w:val="20"/>
          <w:szCs w:val="20"/>
          <w:lang w:val="en-US"/>
        </w:rPr>
        <w:t xml:space="preserve"> F</w:t>
      </w:r>
      <w:r w:rsidR="007A3EC8" w:rsidRPr="008F23CC">
        <w:rPr>
          <w:rFonts w:ascii="Times New Roman" w:hAnsi="Times New Roman" w:cs="Times New Roman"/>
          <w:color w:val="000000"/>
          <w:sz w:val="20"/>
          <w:szCs w:val="20"/>
          <w:lang w:val="en-US"/>
        </w:rPr>
        <w:t xml:space="preserve">low paths </w:t>
      </w:r>
      <w:r w:rsidR="005A7604" w:rsidRPr="008F23CC">
        <w:rPr>
          <w:rFonts w:ascii="Times New Roman" w:hAnsi="Times New Roman" w:cs="Times New Roman"/>
          <w:color w:val="000000"/>
          <w:sz w:val="20"/>
          <w:szCs w:val="20"/>
          <w:lang w:val="en-US"/>
        </w:rPr>
        <w:t>for reactants</w:t>
      </w:r>
      <w:r w:rsidR="007A3EC8" w:rsidRPr="008F23CC">
        <w:rPr>
          <w:rFonts w:ascii="Times New Roman" w:hAnsi="Times New Roman" w:cs="Times New Roman"/>
          <w:color w:val="000000"/>
          <w:sz w:val="20"/>
          <w:szCs w:val="20"/>
          <w:lang w:val="en-US"/>
        </w:rPr>
        <w:t xml:space="preserve">, </w:t>
      </w:r>
      <w:r w:rsidR="00A43355" w:rsidRPr="008F23CC">
        <w:rPr>
          <w:rFonts w:ascii="Times New Roman" w:hAnsi="Times New Roman" w:cs="Times New Roman"/>
          <w:color w:val="000000"/>
          <w:sz w:val="20"/>
          <w:szCs w:val="20"/>
          <w:lang w:val="en-US"/>
        </w:rPr>
        <w:t xml:space="preserve">products </w:t>
      </w:r>
      <w:r w:rsidR="007A3EC8" w:rsidRPr="008F23CC">
        <w:rPr>
          <w:rFonts w:ascii="Times New Roman" w:hAnsi="Times New Roman" w:cs="Times New Roman"/>
          <w:color w:val="000000"/>
          <w:sz w:val="20"/>
          <w:szCs w:val="20"/>
          <w:lang w:val="en-US"/>
        </w:rPr>
        <w:t xml:space="preserve">and/or the cooler </w:t>
      </w:r>
      <w:r w:rsidR="00A43355" w:rsidRPr="008F23CC">
        <w:rPr>
          <w:rFonts w:ascii="Times New Roman" w:hAnsi="Times New Roman" w:cs="Times New Roman"/>
          <w:color w:val="000000"/>
          <w:sz w:val="20"/>
          <w:szCs w:val="20"/>
          <w:lang w:val="en-US"/>
        </w:rPr>
        <w:t xml:space="preserve">are </w:t>
      </w:r>
      <w:r w:rsidR="005A7604" w:rsidRPr="008F23CC">
        <w:rPr>
          <w:rFonts w:ascii="Times New Roman" w:hAnsi="Times New Roman" w:cs="Times New Roman"/>
          <w:color w:val="000000"/>
          <w:sz w:val="20"/>
          <w:szCs w:val="20"/>
          <w:lang w:val="en-US"/>
        </w:rPr>
        <w:t>printed</w:t>
      </w:r>
      <w:r w:rsidR="00A43355" w:rsidRPr="008F23CC">
        <w:rPr>
          <w:rFonts w:ascii="Times New Roman" w:hAnsi="Times New Roman" w:cs="Times New Roman"/>
          <w:color w:val="000000"/>
          <w:sz w:val="20"/>
          <w:szCs w:val="20"/>
          <w:lang w:val="en-US"/>
        </w:rPr>
        <w:t xml:space="preserve"> on either side of these plates</w:t>
      </w:r>
      <w:r w:rsidR="005A7604" w:rsidRPr="008F23CC">
        <w:rPr>
          <w:rFonts w:ascii="Times New Roman" w:hAnsi="Times New Roman" w:cs="Times New Roman"/>
          <w:color w:val="000000"/>
          <w:sz w:val="20"/>
          <w:szCs w:val="20"/>
          <w:lang w:val="en-US"/>
        </w:rPr>
        <w:t xml:space="preserve">. </w:t>
      </w:r>
      <w:r w:rsidR="00A43355" w:rsidRPr="008F23CC">
        <w:rPr>
          <w:rFonts w:ascii="Times New Roman" w:hAnsi="Times New Roman" w:cs="Times New Roman"/>
          <w:color w:val="000000"/>
          <w:sz w:val="20"/>
          <w:szCs w:val="20"/>
          <w:lang w:val="en-US"/>
        </w:rPr>
        <w:t>In m</w:t>
      </w:r>
      <w:r w:rsidR="004C3676" w:rsidRPr="008F23CC">
        <w:rPr>
          <w:rFonts w:ascii="Times New Roman" w:hAnsi="Times New Roman" w:cs="Times New Roman"/>
          <w:sz w:val="20"/>
          <w:szCs w:val="20"/>
          <w:lang w:val="en-US"/>
        </w:rPr>
        <w:t xml:space="preserve">ost PEFCs </w:t>
      </w:r>
      <w:r w:rsidR="007A3EC8" w:rsidRPr="008F23CC">
        <w:rPr>
          <w:rFonts w:ascii="Times New Roman" w:hAnsi="Times New Roman" w:cs="Times New Roman"/>
          <w:sz w:val="20"/>
          <w:szCs w:val="20"/>
          <w:lang w:val="en-US"/>
        </w:rPr>
        <w:t>c</w:t>
      </w:r>
      <w:r w:rsidR="004C3676" w:rsidRPr="008F23CC">
        <w:rPr>
          <w:rFonts w:ascii="Times New Roman" w:hAnsi="Times New Roman" w:cs="Times New Roman"/>
          <w:sz w:val="20"/>
          <w:szCs w:val="20"/>
          <w:lang w:val="en-US"/>
        </w:rPr>
        <w:t xml:space="preserve">ooling is accomplished </w:t>
      </w:r>
      <w:r w:rsidR="00A43355" w:rsidRPr="008F23CC">
        <w:rPr>
          <w:rFonts w:ascii="Times New Roman" w:hAnsi="Times New Roman" w:cs="Times New Roman"/>
          <w:sz w:val="20"/>
          <w:szCs w:val="20"/>
          <w:lang w:val="en-US"/>
        </w:rPr>
        <w:t>by</w:t>
      </w:r>
      <w:r w:rsidR="004C3676" w:rsidRPr="008F23CC">
        <w:rPr>
          <w:rFonts w:ascii="Times New Roman" w:hAnsi="Times New Roman" w:cs="Times New Roman"/>
          <w:sz w:val="20"/>
          <w:szCs w:val="20"/>
          <w:lang w:val="en-US"/>
        </w:rPr>
        <w:t xml:space="preserve"> circulating water that is pumped through inte</w:t>
      </w:r>
      <w:r w:rsidR="00A43355" w:rsidRPr="008F23CC">
        <w:rPr>
          <w:rFonts w:ascii="Times New Roman" w:hAnsi="Times New Roman" w:cs="Times New Roman"/>
          <w:sz w:val="20"/>
          <w:szCs w:val="20"/>
          <w:lang w:val="en-US"/>
        </w:rPr>
        <w:t>grated coolers within the stack, so that t</w:t>
      </w:r>
      <w:r w:rsidR="004C3676" w:rsidRPr="008F23CC">
        <w:rPr>
          <w:rFonts w:ascii="Times New Roman" w:hAnsi="Times New Roman" w:cs="Times New Roman"/>
          <w:sz w:val="20"/>
          <w:szCs w:val="20"/>
          <w:lang w:val="en-US"/>
        </w:rPr>
        <w:t xml:space="preserve">he temperature </w:t>
      </w:r>
      <w:r w:rsidR="007A3EC8" w:rsidRPr="008F23CC">
        <w:rPr>
          <w:rFonts w:ascii="Times New Roman" w:hAnsi="Times New Roman" w:cs="Times New Roman"/>
          <w:sz w:val="20"/>
          <w:szCs w:val="20"/>
          <w:lang w:val="en-US"/>
        </w:rPr>
        <w:t>gradient</w:t>
      </w:r>
      <w:r w:rsidR="004C3676" w:rsidRPr="008F23CC">
        <w:rPr>
          <w:rFonts w:ascii="Times New Roman" w:hAnsi="Times New Roman" w:cs="Times New Roman"/>
          <w:sz w:val="20"/>
          <w:szCs w:val="20"/>
          <w:lang w:val="en-US"/>
        </w:rPr>
        <w:t xml:space="preserve"> across the cell is kept to less than 10°C. </w:t>
      </w:r>
    </w:p>
    <w:p w:rsidR="000B3623" w:rsidRPr="008F23CC" w:rsidRDefault="005F0129"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color w:val="000000"/>
          <w:sz w:val="20"/>
          <w:szCs w:val="20"/>
          <w:lang w:val="en-US"/>
        </w:rPr>
        <w:t xml:space="preserve">Because of </w:t>
      </w:r>
      <w:r w:rsidR="00775603" w:rsidRPr="008F23CC">
        <w:rPr>
          <w:rFonts w:ascii="Times New Roman" w:hAnsi="Times New Roman" w:cs="Times New Roman"/>
          <w:color w:val="000000"/>
          <w:sz w:val="20"/>
          <w:szCs w:val="20"/>
          <w:lang w:val="en-US"/>
        </w:rPr>
        <w:t>Nafion</w:t>
      </w:r>
      <w:r w:rsidRPr="008F23CC">
        <w:rPr>
          <w:rFonts w:ascii="Times New Roman" w:hAnsi="Times New Roman" w:cs="Times New Roman"/>
          <w:color w:val="000000"/>
          <w:sz w:val="20"/>
          <w:szCs w:val="20"/>
          <w:lang w:val="en-US"/>
        </w:rPr>
        <w:t xml:space="preserve"> membrane</w:t>
      </w:r>
      <w:r w:rsidR="00775603" w:rsidRPr="008F23CC">
        <w:rPr>
          <w:rFonts w:ascii="Times New Roman" w:hAnsi="Times New Roman" w:cs="Times New Roman"/>
          <w:color w:val="000000"/>
          <w:sz w:val="20"/>
          <w:szCs w:val="20"/>
          <w:lang w:val="en-US"/>
        </w:rPr>
        <w:t>s,</w:t>
      </w:r>
      <w:r w:rsidRPr="008F23CC">
        <w:rPr>
          <w:rFonts w:ascii="Times New Roman" w:hAnsi="Times New Roman" w:cs="Times New Roman"/>
          <w:color w:val="000000"/>
          <w:sz w:val="20"/>
          <w:szCs w:val="20"/>
          <w:lang w:val="en-US"/>
        </w:rPr>
        <w:t xml:space="preserve"> </w:t>
      </w:r>
      <w:r w:rsidR="000B3623" w:rsidRPr="008F23CC">
        <w:rPr>
          <w:rFonts w:ascii="Times New Roman" w:hAnsi="Times New Roman" w:cs="Times New Roman"/>
          <w:color w:val="000000"/>
          <w:sz w:val="20"/>
          <w:szCs w:val="20"/>
          <w:lang w:val="en-US"/>
        </w:rPr>
        <w:t>PEFCs</w:t>
      </w:r>
      <w:r w:rsidRPr="008F23CC">
        <w:rPr>
          <w:rFonts w:ascii="Times New Roman" w:hAnsi="Times New Roman" w:cs="Times New Roman"/>
          <w:color w:val="000000"/>
          <w:sz w:val="20"/>
          <w:szCs w:val="20"/>
          <w:lang w:val="en-US"/>
        </w:rPr>
        <w:t xml:space="preserve"> operate at</w:t>
      </w:r>
      <w:r w:rsidR="00F0029E"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temperatures typically </w:t>
      </w:r>
      <w:r w:rsidR="00775603" w:rsidRPr="008F23CC">
        <w:rPr>
          <w:rFonts w:ascii="Times New Roman" w:hAnsi="Times New Roman" w:cs="Times New Roman"/>
          <w:color w:val="000000"/>
          <w:sz w:val="20"/>
          <w:szCs w:val="20"/>
          <w:lang w:val="en-US"/>
        </w:rPr>
        <w:t>not higher than</w:t>
      </w:r>
      <w:r w:rsidRPr="008F23CC">
        <w:rPr>
          <w:rFonts w:ascii="Times New Roman" w:hAnsi="Times New Roman" w:cs="Times New Roman"/>
          <w:color w:val="000000"/>
          <w:sz w:val="20"/>
          <w:szCs w:val="20"/>
          <w:lang w:val="en-US"/>
        </w:rPr>
        <w:t xml:space="preserve"> 60 – 80°C. </w:t>
      </w:r>
      <w:r w:rsidR="00191E0F" w:rsidRPr="008F23CC">
        <w:rPr>
          <w:rFonts w:ascii="Times New Roman" w:hAnsi="Times New Roman" w:cs="Times New Roman"/>
          <w:color w:val="000000"/>
          <w:sz w:val="20"/>
          <w:szCs w:val="20"/>
          <w:lang w:val="en-US"/>
        </w:rPr>
        <w:t>At these temperatures</w:t>
      </w:r>
      <w:r w:rsidRPr="008F23CC">
        <w:rPr>
          <w:rFonts w:ascii="Times New Roman" w:hAnsi="Times New Roman" w:cs="Times New Roman"/>
          <w:color w:val="000000"/>
          <w:sz w:val="20"/>
          <w:szCs w:val="20"/>
          <w:lang w:val="en-US"/>
        </w:rPr>
        <w:t xml:space="preserve"> </w:t>
      </w:r>
      <w:r w:rsidR="00775603" w:rsidRPr="008F23CC">
        <w:rPr>
          <w:rFonts w:ascii="Times New Roman" w:hAnsi="Times New Roman" w:cs="Times New Roman"/>
          <w:color w:val="000000"/>
          <w:sz w:val="20"/>
          <w:szCs w:val="20"/>
          <w:lang w:val="en-US"/>
        </w:rPr>
        <w:t>CO is</w:t>
      </w:r>
      <w:r w:rsidR="00191E0F" w:rsidRPr="008F23CC">
        <w:rPr>
          <w:rFonts w:ascii="Times New Roman" w:hAnsi="Times New Roman" w:cs="Times New Roman"/>
          <w:color w:val="000000"/>
          <w:sz w:val="20"/>
          <w:szCs w:val="20"/>
          <w:lang w:val="en-US"/>
        </w:rPr>
        <w:t xml:space="preserve"> </w:t>
      </w:r>
      <w:r w:rsidR="000B3623" w:rsidRPr="008F23CC">
        <w:rPr>
          <w:rFonts w:ascii="Times New Roman" w:hAnsi="Times New Roman" w:cs="Times New Roman"/>
          <w:color w:val="000000"/>
          <w:sz w:val="20"/>
          <w:szCs w:val="20"/>
          <w:lang w:val="en-US"/>
        </w:rPr>
        <w:t xml:space="preserve">strongly chemisorbed on </w:t>
      </w:r>
      <w:r w:rsidRPr="008F23CC">
        <w:rPr>
          <w:rFonts w:ascii="Times New Roman" w:hAnsi="Times New Roman" w:cs="Times New Roman"/>
          <w:color w:val="000000"/>
          <w:sz w:val="20"/>
          <w:szCs w:val="20"/>
          <w:lang w:val="en-US"/>
        </w:rPr>
        <w:t>platinum</w:t>
      </w:r>
      <w:r w:rsidR="000B3623" w:rsidRPr="008F23CC">
        <w:rPr>
          <w:rFonts w:ascii="Times New Roman" w:hAnsi="Times New Roman" w:cs="Times New Roman"/>
          <w:color w:val="000000"/>
          <w:sz w:val="20"/>
          <w:szCs w:val="20"/>
          <w:lang w:val="en-US"/>
        </w:rPr>
        <w:t>, poisoning its</w:t>
      </w:r>
      <w:r w:rsidR="00F0029E"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catalytic activity and reducing </w:t>
      </w:r>
      <w:r w:rsidR="00775603" w:rsidRPr="008F23CC">
        <w:rPr>
          <w:rFonts w:ascii="Times New Roman" w:hAnsi="Times New Roman" w:cs="Times New Roman"/>
          <w:color w:val="000000"/>
          <w:sz w:val="20"/>
          <w:szCs w:val="20"/>
          <w:lang w:val="en-US"/>
        </w:rPr>
        <w:t xml:space="preserve">the </w:t>
      </w:r>
      <w:r w:rsidRPr="008F23CC">
        <w:rPr>
          <w:rFonts w:ascii="Times New Roman" w:hAnsi="Times New Roman" w:cs="Times New Roman"/>
          <w:color w:val="000000"/>
          <w:sz w:val="20"/>
          <w:szCs w:val="20"/>
          <w:lang w:val="en-US"/>
        </w:rPr>
        <w:t>performance</w:t>
      </w:r>
      <w:r w:rsidR="00775603" w:rsidRPr="008F23CC">
        <w:rPr>
          <w:rFonts w:ascii="Times New Roman" w:hAnsi="Times New Roman" w:cs="Times New Roman"/>
          <w:color w:val="000000"/>
          <w:sz w:val="20"/>
          <w:szCs w:val="20"/>
          <w:lang w:val="en-US"/>
        </w:rPr>
        <w:t xml:space="preserve"> of the cell</w:t>
      </w:r>
      <w:r w:rsidRPr="008F23CC">
        <w:rPr>
          <w:rFonts w:ascii="Times New Roman" w:hAnsi="Times New Roman" w:cs="Times New Roman"/>
          <w:color w:val="000000"/>
          <w:sz w:val="20"/>
          <w:szCs w:val="20"/>
          <w:lang w:val="en-US"/>
        </w:rPr>
        <w:t>.</w:t>
      </w:r>
      <w:r w:rsidR="000B3623"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The effect is reversible </w:t>
      </w:r>
      <w:r w:rsidR="000B3623" w:rsidRPr="008F23CC">
        <w:rPr>
          <w:rFonts w:ascii="Times New Roman" w:hAnsi="Times New Roman" w:cs="Times New Roman"/>
          <w:color w:val="000000"/>
          <w:sz w:val="20"/>
          <w:szCs w:val="20"/>
          <w:lang w:val="en-US"/>
        </w:rPr>
        <w:t xml:space="preserve">for </w:t>
      </w:r>
      <w:r w:rsidR="00775603" w:rsidRPr="008F23CC">
        <w:rPr>
          <w:rFonts w:ascii="Times New Roman" w:hAnsi="Times New Roman" w:cs="Times New Roman"/>
          <w:color w:val="000000"/>
          <w:sz w:val="20"/>
          <w:szCs w:val="20"/>
          <w:lang w:val="en-US"/>
        </w:rPr>
        <w:t xml:space="preserve">only </w:t>
      </w:r>
      <w:r w:rsidR="000B3623" w:rsidRPr="008F23CC">
        <w:rPr>
          <w:rFonts w:ascii="Times New Roman" w:hAnsi="Times New Roman" w:cs="Times New Roman"/>
          <w:color w:val="000000"/>
          <w:sz w:val="20"/>
          <w:szCs w:val="20"/>
          <w:lang w:val="en-US"/>
        </w:rPr>
        <w:t>up to 50 ppm CO</w:t>
      </w:r>
      <w:r w:rsidR="00775603" w:rsidRPr="008F23CC">
        <w:rPr>
          <w:rFonts w:ascii="Times New Roman" w:hAnsi="Times New Roman" w:cs="Times New Roman"/>
          <w:color w:val="000000"/>
          <w:sz w:val="20"/>
          <w:szCs w:val="20"/>
          <w:lang w:val="en-US"/>
        </w:rPr>
        <w:t xml:space="preserve">, while </w:t>
      </w:r>
      <w:r w:rsidRPr="008F23CC">
        <w:rPr>
          <w:rFonts w:ascii="Times New Roman" w:hAnsi="Times New Roman" w:cs="Times New Roman"/>
          <w:color w:val="000000"/>
          <w:sz w:val="20"/>
          <w:szCs w:val="20"/>
          <w:lang w:val="en-US"/>
        </w:rPr>
        <w:t xml:space="preserve">reformed and shifted hydrocarbons contain </w:t>
      </w:r>
      <w:r w:rsidR="000B3623" w:rsidRPr="008F23CC">
        <w:rPr>
          <w:rFonts w:ascii="Times New Roman" w:hAnsi="Times New Roman" w:cs="Times New Roman"/>
          <w:color w:val="000000"/>
          <w:sz w:val="20"/>
          <w:szCs w:val="20"/>
          <w:lang w:val="en-US"/>
        </w:rPr>
        <w:t>over 10,000 ppm</w:t>
      </w:r>
      <w:r w:rsidRPr="008F23CC">
        <w:rPr>
          <w:rFonts w:ascii="Times New Roman" w:hAnsi="Times New Roman" w:cs="Times New Roman"/>
          <w:color w:val="000000"/>
          <w:sz w:val="20"/>
          <w:szCs w:val="20"/>
          <w:lang w:val="en-US"/>
        </w:rPr>
        <w:t xml:space="preserve"> CO</w:t>
      </w:r>
      <w:r w:rsidR="007D01FD" w:rsidRPr="008F23CC">
        <w:rPr>
          <w:rFonts w:ascii="Times New Roman" w:hAnsi="Times New Roman" w:cs="Times New Roman"/>
          <w:color w:val="000000"/>
          <w:sz w:val="20"/>
          <w:szCs w:val="20"/>
          <w:lang w:val="en-US"/>
        </w:rPr>
        <w:t>. Although electrolysis H</w:t>
      </w:r>
      <w:r w:rsidR="007D01FD" w:rsidRPr="008F23CC">
        <w:rPr>
          <w:rFonts w:ascii="Times New Roman" w:hAnsi="Times New Roman" w:cs="Times New Roman"/>
          <w:color w:val="000000"/>
          <w:sz w:val="20"/>
          <w:szCs w:val="20"/>
          <w:vertAlign w:val="subscript"/>
          <w:lang w:val="en-US"/>
        </w:rPr>
        <w:t>2</w:t>
      </w:r>
      <w:r w:rsidR="007D01FD" w:rsidRPr="008F23CC">
        <w:rPr>
          <w:rFonts w:ascii="Times New Roman" w:hAnsi="Times New Roman" w:cs="Times New Roman"/>
          <w:color w:val="000000"/>
          <w:sz w:val="20"/>
          <w:szCs w:val="20"/>
          <w:lang w:val="en-US"/>
        </w:rPr>
        <w:t xml:space="preserve"> is favored for PEFC applications, i</w:t>
      </w:r>
      <w:r w:rsidR="00775603" w:rsidRPr="008F23CC">
        <w:rPr>
          <w:rFonts w:ascii="Times New Roman" w:hAnsi="Times New Roman" w:cs="Times New Roman"/>
          <w:color w:val="000000"/>
          <w:sz w:val="20"/>
          <w:szCs w:val="20"/>
          <w:lang w:val="en-US"/>
        </w:rPr>
        <w:t xml:space="preserve">n combined reformer – PEFC </w:t>
      </w:r>
      <w:r w:rsidR="007D01FD" w:rsidRPr="008F23CC">
        <w:rPr>
          <w:rFonts w:ascii="Times New Roman" w:hAnsi="Times New Roman" w:cs="Times New Roman"/>
          <w:color w:val="000000"/>
          <w:sz w:val="20"/>
          <w:szCs w:val="20"/>
          <w:lang w:val="en-US"/>
        </w:rPr>
        <w:t>systems</w:t>
      </w:r>
      <w:r w:rsidRPr="008F23CC">
        <w:rPr>
          <w:rFonts w:ascii="Times New Roman" w:hAnsi="Times New Roman" w:cs="Times New Roman"/>
          <w:color w:val="000000"/>
          <w:sz w:val="20"/>
          <w:szCs w:val="20"/>
          <w:lang w:val="en-US"/>
        </w:rPr>
        <w:t xml:space="preserve"> </w:t>
      </w:r>
      <w:r w:rsidR="000B3623" w:rsidRPr="008F23CC">
        <w:rPr>
          <w:rFonts w:ascii="Times New Roman" w:hAnsi="Times New Roman" w:cs="Times New Roman"/>
          <w:color w:val="000000"/>
          <w:sz w:val="20"/>
          <w:szCs w:val="20"/>
          <w:lang w:val="en-US"/>
        </w:rPr>
        <w:t>th</w:t>
      </w:r>
      <w:r w:rsidR="00775603" w:rsidRPr="008F23CC">
        <w:rPr>
          <w:rFonts w:ascii="Times New Roman" w:hAnsi="Times New Roman" w:cs="Times New Roman"/>
          <w:color w:val="000000"/>
          <w:sz w:val="20"/>
          <w:szCs w:val="20"/>
          <w:lang w:val="en-US"/>
        </w:rPr>
        <w:t>e</w:t>
      </w:r>
      <w:r w:rsidR="000B3623" w:rsidRPr="008F23CC">
        <w:rPr>
          <w:rFonts w:ascii="Times New Roman" w:hAnsi="Times New Roman" w:cs="Times New Roman"/>
          <w:color w:val="000000"/>
          <w:sz w:val="20"/>
          <w:szCs w:val="20"/>
          <w:lang w:val="en-US"/>
        </w:rPr>
        <w:t xml:space="preserve">se concentrations </w:t>
      </w:r>
      <w:r w:rsidR="007D01FD" w:rsidRPr="008F23CC">
        <w:rPr>
          <w:rFonts w:ascii="Times New Roman" w:hAnsi="Times New Roman" w:cs="Times New Roman"/>
          <w:color w:val="000000"/>
          <w:sz w:val="20"/>
          <w:szCs w:val="20"/>
          <w:lang w:val="en-US"/>
        </w:rPr>
        <w:t>can be</w:t>
      </w:r>
      <w:r w:rsidR="000B3623" w:rsidRPr="008F23CC">
        <w:rPr>
          <w:rFonts w:ascii="Times New Roman" w:hAnsi="Times New Roman" w:cs="Times New Roman"/>
          <w:color w:val="000000"/>
          <w:sz w:val="20"/>
          <w:szCs w:val="20"/>
          <w:lang w:val="en-US"/>
        </w:rPr>
        <w:t xml:space="preserve"> </w:t>
      </w:r>
      <w:r w:rsidR="00775603" w:rsidRPr="008F23CC">
        <w:rPr>
          <w:rFonts w:ascii="Times New Roman" w:hAnsi="Times New Roman" w:cs="Times New Roman"/>
          <w:color w:val="000000"/>
          <w:sz w:val="20"/>
          <w:szCs w:val="20"/>
          <w:lang w:val="en-US"/>
        </w:rPr>
        <w:t xml:space="preserve">eliminated </w:t>
      </w:r>
      <w:r w:rsidR="000B3623" w:rsidRPr="008F23CC">
        <w:rPr>
          <w:rFonts w:ascii="Times New Roman" w:hAnsi="Times New Roman" w:cs="Times New Roman"/>
          <w:color w:val="000000"/>
          <w:sz w:val="20"/>
          <w:szCs w:val="20"/>
          <w:lang w:val="en-US"/>
        </w:rPr>
        <w:t xml:space="preserve">by </w:t>
      </w:r>
      <w:r w:rsidRPr="008F23CC">
        <w:rPr>
          <w:rFonts w:ascii="Times New Roman" w:hAnsi="Times New Roman" w:cs="Times New Roman"/>
          <w:color w:val="000000"/>
          <w:sz w:val="20"/>
          <w:szCs w:val="20"/>
          <w:lang w:val="en-US"/>
        </w:rPr>
        <w:t>preferential oxidation</w:t>
      </w:r>
      <w:r w:rsidR="000B3623" w:rsidRPr="008F23CC">
        <w:rPr>
          <w:rFonts w:ascii="Times New Roman" w:hAnsi="Times New Roman" w:cs="Times New Roman"/>
          <w:color w:val="000000"/>
          <w:sz w:val="20"/>
          <w:szCs w:val="20"/>
          <w:lang w:val="en-US"/>
        </w:rPr>
        <w:t xml:space="preserve"> (a process </w:t>
      </w:r>
      <w:r w:rsidRPr="008F23CC">
        <w:rPr>
          <w:rFonts w:ascii="Times New Roman" w:hAnsi="Times New Roman" w:cs="Times New Roman"/>
          <w:color w:val="000000"/>
          <w:sz w:val="20"/>
          <w:szCs w:val="20"/>
          <w:lang w:val="en-US"/>
        </w:rPr>
        <w:t xml:space="preserve">that selectively oxidizes CO </w:t>
      </w:r>
      <w:r w:rsidR="000B3623" w:rsidRPr="008F23CC">
        <w:rPr>
          <w:rFonts w:ascii="Times New Roman" w:hAnsi="Times New Roman" w:cs="Times New Roman"/>
          <w:color w:val="000000"/>
          <w:sz w:val="20"/>
          <w:szCs w:val="20"/>
          <w:lang w:val="en-US"/>
        </w:rPr>
        <w:t>in rich</w:t>
      </w:r>
      <w:r w:rsidRPr="008F23CC">
        <w:rPr>
          <w:rFonts w:ascii="Times New Roman" w:hAnsi="Times New Roman" w:cs="Times New Roman"/>
          <w:color w:val="000000"/>
          <w:sz w:val="20"/>
          <w:szCs w:val="20"/>
          <w:lang w:val="en-US"/>
        </w:rPr>
        <w:t xml:space="preserve"> H</w:t>
      </w:r>
      <w:r w:rsidRPr="008F23CC">
        <w:rPr>
          <w:rFonts w:ascii="Times New Roman" w:hAnsi="Times New Roman" w:cs="Times New Roman"/>
          <w:color w:val="000000"/>
          <w:sz w:val="20"/>
          <w:szCs w:val="20"/>
          <w:vertAlign w:val="subscript"/>
          <w:lang w:val="en-US"/>
        </w:rPr>
        <w:t>2</w:t>
      </w:r>
      <w:r w:rsidRPr="008F23CC">
        <w:rPr>
          <w:rFonts w:ascii="Times New Roman" w:hAnsi="Times New Roman" w:cs="Times New Roman"/>
          <w:color w:val="000000"/>
          <w:sz w:val="20"/>
          <w:szCs w:val="20"/>
          <w:lang w:val="en-US"/>
        </w:rPr>
        <w:t xml:space="preserve"> </w:t>
      </w:r>
      <w:r w:rsidR="000B3623" w:rsidRPr="008F23CC">
        <w:rPr>
          <w:rFonts w:ascii="Times New Roman" w:hAnsi="Times New Roman" w:cs="Times New Roman"/>
          <w:color w:val="000000"/>
          <w:sz w:val="20"/>
          <w:szCs w:val="20"/>
          <w:lang w:val="en-US"/>
        </w:rPr>
        <w:t xml:space="preserve">streams, over </w:t>
      </w:r>
      <w:r w:rsidRPr="008F23CC">
        <w:rPr>
          <w:rFonts w:ascii="Times New Roman" w:hAnsi="Times New Roman" w:cs="Times New Roman"/>
          <w:color w:val="000000"/>
          <w:sz w:val="20"/>
          <w:szCs w:val="20"/>
          <w:lang w:val="en-US"/>
        </w:rPr>
        <w:t>precious metal</w:t>
      </w:r>
      <w:r w:rsidR="00F0029E"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catalyst</w:t>
      </w:r>
      <w:r w:rsidR="000B3623"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Recent</w:t>
      </w:r>
      <w:r w:rsidR="000B3623" w:rsidRPr="008F23CC">
        <w:rPr>
          <w:rFonts w:ascii="Times New Roman" w:hAnsi="Times New Roman" w:cs="Times New Roman"/>
          <w:color w:val="000000"/>
          <w:sz w:val="20"/>
          <w:szCs w:val="20"/>
          <w:lang w:val="en-US"/>
        </w:rPr>
        <w:t>ly</w:t>
      </w:r>
      <w:r w:rsidRPr="008F23CC">
        <w:rPr>
          <w:rFonts w:ascii="Times New Roman" w:hAnsi="Times New Roman" w:cs="Times New Roman"/>
          <w:color w:val="000000"/>
          <w:sz w:val="20"/>
          <w:szCs w:val="20"/>
          <w:lang w:val="en-US"/>
        </w:rPr>
        <w:t xml:space="preserve"> PEFC </w:t>
      </w:r>
      <w:r w:rsidR="00775603" w:rsidRPr="008F23CC">
        <w:rPr>
          <w:rFonts w:ascii="Times New Roman" w:hAnsi="Times New Roman" w:cs="Times New Roman"/>
          <w:color w:val="000000"/>
          <w:sz w:val="20"/>
          <w:szCs w:val="20"/>
          <w:lang w:val="en-US"/>
        </w:rPr>
        <w:t>research</w:t>
      </w:r>
      <w:r w:rsidRPr="008F23CC">
        <w:rPr>
          <w:rFonts w:ascii="Times New Roman" w:hAnsi="Times New Roman" w:cs="Times New Roman"/>
          <w:color w:val="000000"/>
          <w:sz w:val="20"/>
          <w:szCs w:val="20"/>
          <w:lang w:val="en-US"/>
        </w:rPr>
        <w:t xml:space="preserve"> has focused on </w:t>
      </w:r>
      <w:r w:rsidR="000B3623" w:rsidRPr="008F23CC">
        <w:rPr>
          <w:rFonts w:ascii="Times New Roman" w:hAnsi="Times New Roman" w:cs="Times New Roman"/>
          <w:color w:val="000000"/>
          <w:sz w:val="20"/>
          <w:szCs w:val="20"/>
          <w:lang w:val="en-US"/>
        </w:rPr>
        <w:t>upgrading temperatures over</w:t>
      </w:r>
      <w:r w:rsidRPr="008F23CC">
        <w:rPr>
          <w:rFonts w:ascii="Times New Roman" w:hAnsi="Times New Roman" w:cs="Times New Roman"/>
          <w:color w:val="000000"/>
          <w:sz w:val="20"/>
          <w:szCs w:val="20"/>
          <w:lang w:val="en-US"/>
        </w:rPr>
        <w:t xml:space="preserve"> 160°C using polybenzimidizole</w:t>
      </w:r>
      <w:r w:rsidR="00775603"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(PBI) </w:t>
      </w:r>
      <w:r w:rsidR="00D11295">
        <w:rPr>
          <w:rFonts w:ascii="Times New Roman" w:hAnsi="Times New Roman" w:cs="Times New Roman"/>
          <w:color w:val="000000"/>
          <w:sz w:val="20"/>
          <w:szCs w:val="20"/>
          <w:lang w:val="en-US"/>
        </w:rPr>
        <w:t>electrolytes</w:t>
      </w:r>
      <w:r w:rsidR="007D01FD" w:rsidRPr="008F23CC">
        <w:rPr>
          <w:rFonts w:ascii="Times New Roman" w:hAnsi="Times New Roman" w:cs="Times New Roman"/>
          <w:color w:val="000000"/>
          <w:sz w:val="20"/>
          <w:szCs w:val="20"/>
          <w:lang w:val="en-US"/>
        </w:rPr>
        <w:t xml:space="preserve"> </w:t>
      </w:r>
      <w:r w:rsidR="007D01FD" w:rsidRPr="008F23CC">
        <w:rPr>
          <w:rFonts w:ascii="Times New Roman" w:hAnsi="Times New Roman" w:cs="Times New Roman"/>
          <w:sz w:val="20"/>
          <w:szCs w:val="20"/>
          <w:lang w:val="en-US"/>
        </w:rPr>
        <w:t>[</w:t>
      </w:r>
      <w:r w:rsidR="00D11295">
        <w:rPr>
          <w:rFonts w:ascii="Times New Roman" w:hAnsi="Times New Roman" w:cs="Times New Roman"/>
          <w:sz w:val="20"/>
          <w:szCs w:val="20"/>
          <w:lang w:val="en-US"/>
        </w:rPr>
        <w:t>1,2,6</w:t>
      </w:r>
      <w:r w:rsidR="007D01FD" w:rsidRPr="008F23CC">
        <w:rPr>
          <w:rFonts w:ascii="Times New Roman" w:hAnsi="Times New Roman" w:cs="Times New Roman"/>
          <w:sz w:val="20"/>
          <w:szCs w:val="20"/>
          <w:lang w:val="en-US"/>
        </w:rPr>
        <w:t>]</w:t>
      </w:r>
      <w:r w:rsidRPr="008F23CC">
        <w:rPr>
          <w:rFonts w:ascii="Times New Roman" w:hAnsi="Times New Roman" w:cs="Times New Roman"/>
          <w:color w:val="000000"/>
          <w:sz w:val="20"/>
          <w:szCs w:val="20"/>
          <w:lang w:val="en-US"/>
        </w:rPr>
        <w:t xml:space="preserve">. </w:t>
      </w:r>
      <w:r w:rsidR="00775603" w:rsidRPr="008F23CC">
        <w:rPr>
          <w:rFonts w:ascii="Times New Roman" w:hAnsi="Times New Roman" w:cs="Times New Roman"/>
          <w:color w:val="000000"/>
          <w:sz w:val="20"/>
          <w:szCs w:val="20"/>
          <w:lang w:val="en-US"/>
        </w:rPr>
        <w:t>At these</w:t>
      </w:r>
      <w:r w:rsidRPr="008F23CC">
        <w:rPr>
          <w:rFonts w:ascii="Times New Roman" w:hAnsi="Times New Roman" w:cs="Times New Roman"/>
          <w:color w:val="000000"/>
          <w:sz w:val="20"/>
          <w:szCs w:val="20"/>
          <w:lang w:val="en-US"/>
        </w:rPr>
        <w:t xml:space="preserve"> temperature</w:t>
      </w:r>
      <w:r w:rsidR="00775603" w:rsidRPr="008F23CC">
        <w:rPr>
          <w:rFonts w:ascii="Times New Roman" w:hAnsi="Times New Roman" w:cs="Times New Roman"/>
          <w:color w:val="000000"/>
          <w:sz w:val="20"/>
          <w:szCs w:val="20"/>
          <w:lang w:val="en-US"/>
        </w:rPr>
        <w:t>s</w:t>
      </w:r>
      <w:r w:rsidRPr="008F23CC">
        <w:rPr>
          <w:rFonts w:ascii="Times New Roman" w:hAnsi="Times New Roman" w:cs="Times New Roman"/>
          <w:color w:val="000000"/>
          <w:sz w:val="20"/>
          <w:szCs w:val="20"/>
          <w:lang w:val="en-US"/>
        </w:rPr>
        <w:t xml:space="preserve"> </w:t>
      </w:r>
      <w:r w:rsidR="00775603" w:rsidRPr="008F23CC">
        <w:rPr>
          <w:rFonts w:ascii="Times New Roman" w:hAnsi="Times New Roman" w:cs="Times New Roman"/>
          <w:color w:val="000000"/>
          <w:sz w:val="20"/>
          <w:szCs w:val="20"/>
          <w:lang w:val="en-US"/>
        </w:rPr>
        <w:t xml:space="preserve">not only </w:t>
      </w:r>
      <w:r w:rsidRPr="008F23CC">
        <w:rPr>
          <w:rFonts w:ascii="Times New Roman" w:hAnsi="Times New Roman" w:cs="Times New Roman"/>
          <w:color w:val="000000"/>
          <w:sz w:val="20"/>
          <w:szCs w:val="20"/>
          <w:lang w:val="en-US"/>
        </w:rPr>
        <w:t>CO</w:t>
      </w:r>
      <w:r w:rsidR="00F0029E"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poisoning </w:t>
      </w:r>
      <w:r w:rsidR="00775603" w:rsidRPr="008F23CC">
        <w:rPr>
          <w:rFonts w:ascii="Times New Roman" w:hAnsi="Times New Roman" w:cs="Times New Roman"/>
          <w:color w:val="000000"/>
          <w:sz w:val="20"/>
          <w:szCs w:val="20"/>
          <w:lang w:val="en-US"/>
        </w:rPr>
        <w:t>is</w:t>
      </w:r>
      <w:r w:rsidRPr="008F23CC">
        <w:rPr>
          <w:rFonts w:ascii="Times New Roman" w:hAnsi="Times New Roman" w:cs="Times New Roman"/>
          <w:color w:val="000000"/>
          <w:sz w:val="20"/>
          <w:szCs w:val="20"/>
          <w:lang w:val="en-US"/>
        </w:rPr>
        <w:t xml:space="preserve"> eliminat</w:t>
      </w:r>
      <w:r w:rsidR="00775603" w:rsidRPr="008F23CC">
        <w:rPr>
          <w:rFonts w:ascii="Times New Roman" w:hAnsi="Times New Roman" w:cs="Times New Roman"/>
          <w:color w:val="000000"/>
          <w:sz w:val="20"/>
          <w:szCs w:val="20"/>
          <w:lang w:val="en-US"/>
        </w:rPr>
        <w:t xml:space="preserve">ed, but </w:t>
      </w:r>
      <w:r w:rsidR="00CD2F7F">
        <w:rPr>
          <w:rFonts w:ascii="Times New Roman" w:hAnsi="Times New Roman" w:cs="Times New Roman"/>
          <w:color w:val="000000"/>
          <w:sz w:val="20"/>
          <w:szCs w:val="20"/>
          <w:lang w:val="en-US"/>
        </w:rPr>
        <w:t xml:space="preserve">also and </w:t>
      </w:r>
      <w:r w:rsidR="00775603" w:rsidRPr="008F23CC">
        <w:rPr>
          <w:rFonts w:ascii="Times New Roman" w:hAnsi="Times New Roman" w:cs="Times New Roman"/>
          <w:color w:val="000000"/>
          <w:sz w:val="20"/>
          <w:szCs w:val="20"/>
          <w:lang w:val="en-US"/>
        </w:rPr>
        <w:t>be</w:t>
      </w:r>
      <w:r w:rsidRPr="008F23CC">
        <w:rPr>
          <w:rFonts w:ascii="Times New Roman" w:hAnsi="Times New Roman" w:cs="Times New Roman"/>
          <w:color w:val="000000"/>
          <w:sz w:val="20"/>
          <w:szCs w:val="20"/>
          <w:lang w:val="en-US"/>
        </w:rPr>
        <w:t xml:space="preserve">cause PBI requires lower water content to </w:t>
      </w:r>
      <w:r w:rsidR="00775603" w:rsidRPr="008F23CC">
        <w:rPr>
          <w:rFonts w:ascii="Times New Roman" w:hAnsi="Times New Roman" w:cs="Times New Roman"/>
          <w:color w:val="000000"/>
          <w:sz w:val="20"/>
          <w:szCs w:val="20"/>
          <w:lang w:val="en-US"/>
        </w:rPr>
        <w:t>operate</w:t>
      </w:r>
      <w:r w:rsidRPr="008F23CC">
        <w:rPr>
          <w:rFonts w:ascii="Times New Roman" w:hAnsi="Times New Roman" w:cs="Times New Roman"/>
          <w:color w:val="000000"/>
          <w:sz w:val="20"/>
          <w:szCs w:val="20"/>
          <w:lang w:val="en-US"/>
        </w:rPr>
        <w:t>, water management is simplified</w:t>
      </w:r>
      <w:r w:rsidR="00D11295">
        <w:rPr>
          <w:rFonts w:ascii="Times New Roman" w:hAnsi="Times New Roman" w:cs="Times New Roman"/>
          <w:color w:val="000000"/>
          <w:sz w:val="20"/>
          <w:szCs w:val="20"/>
          <w:lang w:val="en-US"/>
        </w:rPr>
        <w:t xml:space="preserve"> [7,8]</w:t>
      </w:r>
      <w:r w:rsidRPr="008F23CC">
        <w:rPr>
          <w:rFonts w:ascii="Times New Roman" w:hAnsi="Times New Roman" w:cs="Times New Roman"/>
          <w:color w:val="000000"/>
          <w:sz w:val="20"/>
          <w:szCs w:val="20"/>
          <w:lang w:val="en-US"/>
        </w:rPr>
        <w:t>.</w:t>
      </w:r>
      <w:r w:rsidR="00F0029E" w:rsidRPr="008F23CC">
        <w:rPr>
          <w:rFonts w:ascii="Times New Roman" w:hAnsi="Times New Roman" w:cs="Times New Roman"/>
          <w:color w:val="000000"/>
          <w:sz w:val="20"/>
          <w:szCs w:val="20"/>
          <w:lang w:val="en-US"/>
        </w:rPr>
        <w:t xml:space="preserve"> </w:t>
      </w:r>
    </w:p>
    <w:p w:rsidR="005F0129" w:rsidRPr="008F23CC" w:rsidRDefault="00A84144" w:rsidP="008B7354">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val="en-US"/>
        </w:rPr>
      </w:pPr>
      <w:r w:rsidRPr="008F23CC">
        <w:rPr>
          <w:rFonts w:ascii="Times New Roman" w:hAnsi="Times New Roman" w:cs="Times New Roman"/>
          <w:sz w:val="20"/>
          <w:szCs w:val="20"/>
          <w:lang w:val="en-US"/>
        </w:rPr>
        <w:t xml:space="preserve">As </w:t>
      </w:r>
      <w:r w:rsidR="00683C17" w:rsidRPr="008F23CC">
        <w:rPr>
          <w:rFonts w:ascii="Times New Roman" w:hAnsi="Times New Roman" w:cs="Times New Roman"/>
          <w:sz w:val="20"/>
          <w:szCs w:val="20"/>
          <w:lang w:val="en-US"/>
        </w:rPr>
        <w:t>a</w:t>
      </w:r>
      <w:r w:rsidRPr="008F23CC">
        <w:rPr>
          <w:rFonts w:ascii="Times New Roman" w:hAnsi="Times New Roman" w:cs="Times New Roman"/>
          <w:sz w:val="20"/>
          <w:szCs w:val="20"/>
          <w:lang w:val="en-US"/>
        </w:rPr>
        <w:t xml:space="preserve"> proton is</w:t>
      </w:r>
      <w:r w:rsidR="00592E0C" w:rsidRPr="008F23CC">
        <w:rPr>
          <w:rFonts w:ascii="Times New Roman" w:hAnsi="Times New Roman" w:cs="Times New Roman"/>
          <w:sz w:val="20"/>
          <w:szCs w:val="20"/>
          <w:lang w:val="en-US"/>
        </w:rPr>
        <w:t xml:space="preserve"> conducted</w:t>
      </w:r>
      <w:r w:rsidRPr="008F23CC">
        <w:rPr>
          <w:rFonts w:ascii="Times New Roman" w:hAnsi="Times New Roman" w:cs="Times New Roman"/>
          <w:sz w:val="20"/>
          <w:szCs w:val="20"/>
          <w:lang w:val="en-US"/>
        </w:rPr>
        <w:t xml:space="preserve"> through the membrane, it drags </w:t>
      </w:r>
      <w:r w:rsidR="00592E0C" w:rsidRPr="008F23CC">
        <w:rPr>
          <w:rFonts w:ascii="Times New Roman" w:hAnsi="Times New Roman" w:cs="Times New Roman"/>
          <w:sz w:val="20"/>
          <w:szCs w:val="20"/>
          <w:lang w:val="en-US"/>
        </w:rPr>
        <w:t xml:space="preserve">1 – 2.5 </w:t>
      </w:r>
      <w:r w:rsidRPr="008F23CC">
        <w:rPr>
          <w:rFonts w:ascii="Times New Roman" w:hAnsi="Times New Roman" w:cs="Times New Roman"/>
          <w:sz w:val="20"/>
          <w:szCs w:val="20"/>
          <w:lang w:val="en-US"/>
        </w:rPr>
        <w:t>water molecules</w:t>
      </w:r>
      <w:r w:rsidR="00592E0C" w:rsidRPr="008F23CC">
        <w:rPr>
          <w:rFonts w:ascii="Times New Roman" w:hAnsi="Times New Roman" w:cs="Times New Roman"/>
          <w:sz w:val="20"/>
          <w:szCs w:val="20"/>
          <w:lang w:val="en-US"/>
        </w:rPr>
        <w:t xml:space="preserve"> with it </w:t>
      </w:r>
      <w:r w:rsidR="00D11295">
        <w:rPr>
          <w:rFonts w:ascii="Times New Roman" w:hAnsi="Times New Roman" w:cs="Times New Roman"/>
          <w:color w:val="000000"/>
          <w:sz w:val="20"/>
          <w:szCs w:val="20"/>
          <w:lang w:val="en-US"/>
        </w:rPr>
        <w:t>[1,9]</w:t>
      </w:r>
      <w:r w:rsidR="00592E0C" w:rsidRPr="008F23CC">
        <w:rPr>
          <w:rFonts w:ascii="Times New Roman" w:hAnsi="Times New Roman" w:cs="Times New Roman"/>
          <w:sz w:val="20"/>
          <w:szCs w:val="20"/>
          <w:lang w:val="en-US"/>
        </w:rPr>
        <w:t xml:space="preserve">, thus it </w:t>
      </w:r>
      <w:r w:rsidR="00592E0C" w:rsidRPr="008F23CC">
        <w:rPr>
          <w:rFonts w:ascii="Times New Roman" w:hAnsi="Times New Roman" w:cs="Times New Roman"/>
          <w:color w:val="000000"/>
          <w:sz w:val="20"/>
          <w:szCs w:val="20"/>
          <w:lang w:val="en-US"/>
        </w:rPr>
        <w:t>is critical to maintain the water content of the electrolyte</w:t>
      </w:r>
      <w:r w:rsidR="00592E0C" w:rsidRPr="008F23CC">
        <w:rPr>
          <w:rFonts w:ascii="Times New Roman" w:hAnsi="Times New Roman" w:cs="Times New Roman"/>
          <w:color w:val="000000"/>
          <w:sz w:val="20"/>
          <w:szCs w:val="20"/>
          <w:vertAlign w:val="superscript"/>
          <w:lang w:val="en-US"/>
        </w:rPr>
        <w:t xml:space="preserve"> </w:t>
      </w:r>
      <w:r w:rsidR="00592E0C" w:rsidRPr="008F23CC">
        <w:rPr>
          <w:rFonts w:ascii="Times New Roman" w:hAnsi="Times New Roman" w:cs="Times New Roman"/>
          <w:color w:val="000000"/>
          <w:sz w:val="20"/>
          <w:szCs w:val="20"/>
          <w:lang w:val="en-US"/>
        </w:rPr>
        <w:t>(</w:t>
      </w:r>
      <w:r w:rsidR="00883099" w:rsidRPr="008F23CC">
        <w:rPr>
          <w:rFonts w:ascii="Times New Roman" w:hAnsi="Times New Roman" w:cs="Times New Roman"/>
          <w:color w:val="000000"/>
          <w:sz w:val="20"/>
          <w:szCs w:val="20"/>
          <w:lang w:val="en-US"/>
        </w:rPr>
        <w:t>t</w:t>
      </w:r>
      <w:r w:rsidR="00592E0C" w:rsidRPr="008F23CC">
        <w:rPr>
          <w:rFonts w:ascii="Times New Roman" w:hAnsi="Times New Roman" w:cs="Times New Roman"/>
          <w:color w:val="000000"/>
          <w:sz w:val="20"/>
          <w:szCs w:val="20"/>
          <w:lang w:val="en-US"/>
        </w:rPr>
        <w:t>he conductivity of the electrolyte is maximised when the membrane is fully saturated). On the other hand, and d</w:t>
      </w:r>
      <w:r w:rsidR="005F0129" w:rsidRPr="008F23CC">
        <w:rPr>
          <w:rFonts w:ascii="Times New Roman" w:hAnsi="Times New Roman" w:cs="Times New Roman"/>
          <w:color w:val="000000"/>
          <w:sz w:val="20"/>
          <w:szCs w:val="20"/>
          <w:lang w:val="en-US"/>
        </w:rPr>
        <w:t xml:space="preserve">ue to operation at less than 100°C </w:t>
      </w:r>
      <w:r w:rsidR="0052073B">
        <w:rPr>
          <w:rFonts w:ascii="Times New Roman" w:hAnsi="Times New Roman" w:cs="Times New Roman"/>
          <w:color w:val="000000"/>
          <w:sz w:val="20"/>
          <w:szCs w:val="20"/>
          <w:lang w:val="en-US"/>
        </w:rPr>
        <w:t>at</w:t>
      </w:r>
      <w:r w:rsidR="005F0129" w:rsidRPr="008F23CC">
        <w:rPr>
          <w:rFonts w:ascii="Times New Roman" w:hAnsi="Times New Roman" w:cs="Times New Roman"/>
          <w:color w:val="000000"/>
          <w:sz w:val="20"/>
          <w:szCs w:val="20"/>
          <w:lang w:val="en-US"/>
        </w:rPr>
        <w:t xml:space="preserve"> atmospheric pressure, </w:t>
      </w:r>
      <w:r w:rsidR="007A3EC8" w:rsidRPr="008F23CC">
        <w:rPr>
          <w:rFonts w:ascii="Times New Roman" w:hAnsi="Times New Roman" w:cs="Times New Roman"/>
          <w:color w:val="000000"/>
          <w:sz w:val="20"/>
          <w:szCs w:val="20"/>
          <w:lang w:val="en-US"/>
        </w:rPr>
        <w:t xml:space="preserve">liquid </w:t>
      </w:r>
      <w:r w:rsidR="005F0129" w:rsidRPr="008F23CC">
        <w:rPr>
          <w:rFonts w:ascii="Times New Roman" w:hAnsi="Times New Roman" w:cs="Times New Roman"/>
          <w:color w:val="000000"/>
          <w:sz w:val="20"/>
          <w:szCs w:val="20"/>
          <w:lang w:val="en-US"/>
        </w:rPr>
        <w:t xml:space="preserve">water is produced </w:t>
      </w:r>
      <w:r w:rsidR="00592E0C" w:rsidRPr="008F23CC">
        <w:rPr>
          <w:rFonts w:ascii="Times New Roman" w:hAnsi="Times New Roman" w:cs="Times New Roman"/>
          <w:color w:val="000000"/>
          <w:sz w:val="20"/>
          <w:szCs w:val="20"/>
          <w:lang w:val="en-US"/>
        </w:rPr>
        <w:t>at the cathode</w:t>
      </w:r>
      <w:r w:rsidR="005F0129" w:rsidRPr="008F23CC">
        <w:rPr>
          <w:rFonts w:ascii="Times New Roman" w:hAnsi="Times New Roman" w:cs="Times New Roman"/>
          <w:color w:val="000000"/>
          <w:sz w:val="20"/>
          <w:szCs w:val="20"/>
          <w:lang w:val="en-US"/>
        </w:rPr>
        <w:t xml:space="preserve">. </w:t>
      </w:r>
      <w:r w:rsidR="00592E0C" w:rsidRPr="008F23CC">
        <w:rPr>
          <w:rFonts w:ascii="Times New Roman" w:hAnsi="Times New Roman" w:cs="Times New Roman"/>
          <w:color w:val="000000"/>
          <w:sz w:val="20"/>
          <w:szCs w:val="20"/>
          <w:lang w:val="en-US"/>
        </w:rPr>
        <w:t xml:space="preserve">Thus, in case the anode is drier than the cathode, </w:t>
      </w:r>
      <w:r w:rsidR="0052073B">
        <w:rPr>
          <w:rFonts w:ascii="Times New Roman" w:hAnsi="Times New Roman" w:cs="Times New Roman"/>
          <w:color w:val="000000"/>
          <w:sz w:val="20"/>
          <w:szCs w:val="20"/>
          <w:lang w:val="en-US"/>
        </w:rPr>
        <w:t>the</w:t>
      </w:r>
      <w:r w:rsidR="00592E0C" w:rsidRPr="008F23CC">
        <w:rPr>
          <w:rFonts w:ascii="Times New Roman" w:hAnsi="Times New Roman" w:cs="Times New Roman"/>
          <w:color w:val="000000"/>
          <w:sz w:val="20"/>
          <w:szCs w:val="20"/>
          <w:lang w:val="en-US"/>
        </w:rPr>
        <w:t xml:space="preserve"> back-diffusion of water from the cathode to the anode inhibits the protonic flow</w:t>
      </w:r>
      <w:r w:rsidR="005F0129" w:rsidRPr="008F23CC">
        <w:rPr>
          <w:rFonts w:ascii="Times New Roman" w:hAnsi="Times New Roman" w:cs="Times New Roman"/>
          <w:color w:val="000000"/>
          <w:sz w:val="20"/>
          <w:szCs w:val="20"/>
          <w:lang w:val="en-US"/>
        </w:rPr>
        <w:t xml:space="preserve"> </w:t>
      </w:r>
      <w:r w:rsidR="00D11295">
        <w:rPr>
          <w:rFonts w:ascii="Times New Roman" w:hAnsi="Times New Roman" w:cs="Times New Roman"/>
          <w:color w:val="000000"/>
          <w:sz w:val="20"/>
          <w:szCs w:val="20"/>
          <w:lang w:val="en-US"/>
        </w:rPr>
        <w:t>[9,10]</w:t>
      </w:r>
      <w:r w:rsidR="005F0129" w:rsidRPr="008F23CC">
        <w:rPr>
          <w:rFonts w:ascii="Times New Roman" w:hAnsi="Times New Roman" w:cs="Times New Roman"/>
          <w:color w:val="000000"/>
          <w:sz w:val="20"/>
          <w:szCs w:val="20"/>
          <w:lang w:val="en-US"/>
        </w:rPr>
        <w:t xml:space="preserve">. </w:t>
      </w:r>
      <w:r w:rsidR="0052073B">
        <w:rPr>
          <w:rFonts w:ascii="Times New Roman" w:hAnsi="Times New Roman" w:cs="Times New Roman"/>
          <w:color w:val="000000"/>
          <w:sz w:val="20"/>
          <w:szCs w:val="20"/>
          <w:lang w:val="en-US"/>
        </w:rPr>
        <w:t>Furthermore</w:t>
      </w:r>
      <w:r w:rsidR="00A84914" w:rsidRPr="008F23CC">
        <w:rPr>
          <w:rFonts w:ascii="Times New Roman" w:hAnsi="Times New Roman" w:cs="Times New Roman"/>
          <w:color w:val="000000"/>
          <w:sz w:val="20"/>
          <w:szCs w:val="20"/>
          <w:lang w:val="en-US"/>
        </w:rPr>
        <w:t>, i</w:t>
      </w:r>
      <w:r w:rsidRPr="008F23CC">
        <w:rPr>
          <w:rFonts w:ascii="Times New Roman" w:hAnsi="Times New Roman" w:cs="Times New Roman"/>
          <w:color w:val="000000"/>
          <w:sz w:val="20"/>
          <w:szCs w:val="20"/>
          <w:lang w:val="en-US"/>
        </w:rPr>
        <w:t>n case</w:t>
      </w:r>
      <w:r w:rsidR="005F0129"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of</w:t>
      </w:r>
      <w:r w:rsidR="005F0129" w:rsidRPr="008F23CC">
        <w:rPr>
          <w:rFonts w:ascii="Times New Roman" w:hAnsi="Times New Roman" w:cs="Times New Roman"/>
          <w:color w:val="000000"/>
          <w:sz w:val="20"/>
          <w:szCs w:val="20"/>
          <w:lang w:val="en-US"/>
        </w:rPr>
        <w:t xml:space="preserve"> water </w:t>
      </w:r>
      <w:r w:rsidRPr="008F23CC">
        <w:rPr>
          <w:rFonts w:ascii="Times New Roman" w:hAnsi="Times New Roman" w:cs="Times New Roman"/>
          <w:color w:val="000000"/>
          <w:sz w:val="20"/>
          <w:szCs w:val="20"/>
          <w:lang w:val="en-US"/>
        </w:rPr>
        <w:t>excess</w:t>
      </w:r>
      <w:r w:rsidR="005F0129" w:rsidRPr="008F23CC">
        <w:rPr>
          <w:rFonts w:ascii="Times New Roman" w:hAnsi="Times New Roman" w:cs="Times New Roman"/>
          <w:color w:val="000000"/>
          <w:sz w:val="20"/>
          <w:szCs w:val="20"/>
          <w:lang w:val="en-US"/>
        </w:rPr>
        <w:t xml:space="preserve">, the electrodes </w:t>
      </w:r>
      <w:r w:rsidRPr="008F23CC">
        <w:rPr>
          <w:rFonts w:ascii="Times New Roman" w:hAnsi="Times New Roman" w:cs="Times New Roman"/>
          <w:color w:val="000000"/>
          <w:sz w:val="20"/>
          <w:szCs w:val="20"/>
          <w:lang w:val="en-US"/>
        </w:rPr>
        <w:t>will</w:t>
      </w:r>
      <w:r w:rsidR="005F0129" w:rsidRPr="008F23CC">
        <w:rPr>
          <w:rFonts w:ascii="Times New Roman" w:hAnsi="Times New Roman" w:cs="Times New Roman"/>
          <w:color w:val="000000"/>
          <w:sz w:val="20"/>
          <w:szCs w:val="20"/>
          <w:lang w:val="en-US"/>
        </w:rPr>
        <w:t xml:space="preserve"> be flooded </w:t>
      </w:r>
      <w:r w:rsidRPr="008F23CC">
        <w:rPr>
          <w:rFonts w:ascii="Times New Roman" w:hAnsi="Times New Roman" w:cs="Times New Roman"/>
          <w:color w:val="000000"/>
          <w:sz w:val="20"/>
          <w:szCs w:val="20"/>
          <w:lang w:val="en-US"/>
        </w:rPr>
        <w:t xml:space="preserve">blocking the pathways of reactants (products) to (from) the electrode/electrolyte interface, while </w:t>
      </w:r>
      <w:r w:rsidR="00883099" w:rsidRPr="008F23CC">
        <w:rPr>
          <w:rFonts w:ascii="Times New Roman" w:hAnsi="Times New Roman" w:cs="Times New Roman"/>
          <w:color w:val="000000"/>
          <w:sz w:val="20"/>
          <w:szCs w:val="20"/>
          <w:lang w:val="en-US"/>
        </w:rPr>
        <w:t>in case of</w:t>
      </w:r>
      <w:r w:rsidRPr="008F23CC">
        <w:rPr>
          <w:rFonts w:ascii="Times New Roman" w:hAnsi="Times New Roman" w:cs="Times New Roman"/>
          <w:color w:val="000000"/>
          <w:sz w:val="20"/>
          <w:szCs w:val="20"/>
          <w:lang w:val="en-US"/>
        </w:rPr>
        <w:t xml:space="preserve"> water shortage</w:t>
      </w:r>
      <w:r w:rsidR="005F0129" w:rsidRPr="008F23CC">
        <w:rPr>
          <w:rFonts w:ascii="Times New Roman" w:hAnsi="Times New Roman" w:cs="Times New Roman"/>
          <w:color w:val="000000"/>
          <w:sz w:val="20"/>
          <w:szCs w:val="20"/>
          <w:lang w:val="en-US"/>
        </w:rPr>
        <w:t xml:space="preserve">, the membrane </w:t>
      </w:r>
      <w:r w:rsidR="007A3EC8" w:rsidRPr="008F23CC">
        <w:rPr>
          <w:rFonts w:ascii="Times New Roman" w:hAnsi="Times New Roman" w:cs="Times New Roman"/>
          <w:color w:val="000000"/>
          <w:sz w:val="20"/>
          <w:szCs w:val="20"/>
          <w:lang w:val="en-US"/>
        </w:rPr>
        <w:t>will be dehydrated and</w:t>
      </w:r>
      <w:r w:rsidRPr="008F23CC">
        <w:rPr>
          <w:rFonts w:ascii="Times New Roman" w:hAnsi="Times New Roman" w:cs="Times New Roman"/>
          <w:color w:val="000000"/>
          <w:sz w:val="20"/>
          <w:szCs w:val="20"/>
          <w:lang w:val="en-US"/>
        </w:rPr>
        <w:t xml:space="preserve"> destroy</w:t>
      </w:r>
      <w:r w:rsidR="007A3EC8" w:rsidRPr="008F23CC">
        <w:rPr>
          <w:rFonts w:ascii="Times New Roman" w:hAnsi="Times New Roman" w:cs="Times New Roman"/>
          <w:color w:val="000000"/>
          <w:sz w:val="20"/>
          <w:szCs w:val="20"/>
          <w:lang w:val="en-US"/>
        </w:rPr>
        <w:t>ed</w:t>
      </w:r>
      <w:r w:rsidRPr="008F23CC">
        <w:rPr>
          <w:rFonts w:ascii="Times New Roman" w:hAnsi="Times New Roman" w:cs="Times New Roman"/>
          <w:color w:val="000000"/>
          <w:sz w:val="20"/>
          <w:szCs w:val="20"/>
          <w:lang w:val="en-US"/>
        </w:rPr>
        <w:t xml:space="preserve"> </w:t>
      </w:r>
      <w:r w:rsidR="00D11295">
        <w:rPr>
          <w:rFonts w:ascii="Times New Roman" w:hAnsi="Times New Roman" w:cs="Times New Roman"/>
          <w:color w:val="000000"/>
          <w:sz w:val="20"/>
          <w:szCs w:val="20"/>
          <w:lang w:val="en-US"/>
        </w:rPr>
        <w:t>[11]</w:t>
      </w:r>
      <w:r w:rsidR="005F0129" w:rsidRPr="008F23CC">
        <w:rPr>
          <w:rFonts w:ascii="Times New Roman" w:hAnsi="Times New Roman" w:cs="Times New Roman"/>
          <w:color w:val="000000"/>
          <w:sz w:val="20"/>
          <w:szCs w:val="20"/>
          <w:lang w:val="en-US"/>
        </w:rPr>
        <w:t>.</w:t>
      </w:r>
      <w:r w:rsidR="00F0029E" w:rsidRPr="008F23CC">
        <w:rPr>
          <w:rFonts w:ascii="Times New Roman" w:hAnsi="Times New Roman" w:cs="Times New Roman"/>
          <w:color w:val="000000"/>
          <w:sz w:val="20"/>
          <w:szCs w:val="20"/>
          <w:lang w:val="en-US"/>
        </w:rPr>
        <w:t xml:space="preserve"> </w:t>
      </w:r>
      <w:r w:rsidR="00883099" w:rsidRPr="008F23CC">
        <w:rPr>
          <w:rFonts w:ascii="Times New Roman" w:hAnsi="Times New Roman" w:cs="Times New Roman"/>
          <w:color w:val="000000"/>
          <w:sz w:val="20"/>
          <w:szCs w:val="20"/>
          <w:lang w:val="en-US"/>
        </w:rPr>
        <w:t>Despite the complexity,</w:t>
      </w:r>
      <w:r w:rsidR="00A84914" w:rsidRPr="008F23CC">
        <w:rPr>
          <w:rFonts w:ascii="Times New Roman" w:hAnsi="Times New Roman" w:cs="Times New Roman"/>
          <w:color w:val="000000"/>
          <w:sz w:val="20"/>
          <w:szCs w:val="20"/>
          <w:lang w:val="en-US"/>
        </w:rPr>
        <w:t xml:space="preserve"> effective </w:t>
      </w:r>
      <w:r w:rsidR="005F0129" w:rsidRPr="008F23CC">
        <w:rPr>
          <w:rFonts w:ascii="Times New Roman" w:hAnsi="Times New Roman" w:cs="Times New Roman"/>
          <w:color w:val="000000"/>
          <w:sz w:val="20"/>
          <w:szCs w:val="20"/>
          <w:lang w:val="en-US"/>
        </w:rPr>
        <w:t>forms of water management have been developed based on continuous flow field</w:t>
      </w:r>
      <w:r w:rsidR="00A84914" w:rsidRPr="008F23CC">
        <w:rPr>
          <w:rFonts w:ascii="Times New Roman" w:hAnsi="Times New Roman" w:cs="Times New Roman"/>
          <w:color w:val="000000"/>
          <w:sz w:val="20"/>
          <w:szCs w:val="20"/>
          <w:lang w:val="en-US"/>
        </w:rPr>
        <w:t>s</w:t>
      </w:r>
      <w:r w:rsidR="005F0129" w:rsidRPr="008F23CC">
        <w:rPr>
          <w:rFonts w:ascii="Times New Roman" w:hAnsi="Times New Roman" w:cs="Times New Roman"/>
          <w:color w:val="000000"/>
          <w:sz w:val="20"/>
          <w:szCs w:val="20"/>
          <w:lang w:val="en-US"/>
        </w:rPr>
        <w:t xml:space="preserve"> and ap</w:t>
      </w:r>
      <w:r w:rsidR="00883099" w:rsidRPr="008F23CC">
        <w:rPr>
          <w:rFonts w:ascii="Times New Roman" w:hAnsi="Times New Roman" w:cs="Times New Roman"/>
          <w:color w:val="000000"/>
          <w:sz w:val="20"/>
          <w:szCs w:val="20"/>
          <w:lang w:val="en-US"/>
        </w:rPr>
        <w:t xml:space="preserve">propriate operating adjustments focusing on controlled humidification of the anode gas in case of water shortage and temperature rise </w:t>
      </w:r>
      <w:r w:rsidR="005F0129" w:rsidRPr="008F23CC">
        <w:rPr>
          <w:rFonts w:ascii="Times New Roman" w:hAnsi="Times New Roman" w:cs="Times New Roman"/>
          <w:color w:val="000000"/>
          <w:sz w:val="20"/>
          <w:szCs w:val="20"/>
          <w:lang w:val="en-US"/>
        </w:rPr>
        <w:t xml:space="preserve"> </w:t>
      </w:r>
      <w:r w:rsidR="008B71CE" w:rsidRPr="008F23CC">
        <w:rPr>
          <w:rFonts w:ascii="Times New Roman" w:hAnsi="Times New Roman" w:cs="Times New Roman"/>
          <w:color w:val="000000"/>
          <w:sz w:val="20"/>
          <w:szCs w:val="20"/>
          <w:lang w:val="en-US"/>
        </w:rPr>
        <w:t xml:space="preserve">in case of flooding </w:t>
      </w:r>
      <w:r w:rsidR="00D11295">
        <w:rPr>
          <w:rFonts w:ascii="Times New Roman" w:hAnsi="Times New Roman" w:cs="Times New Roman"/>
          <w:color w:val="000000"/>
          <w:sz w:val="20"/>
          <w:szCs w:val="20"/>
          <w:lang w:val="en-US"/>
        </w:rPr>
        <w:t>[12,13]</w:t>
      </w:r>
      <w:r w:rsidR="008B71CE" w:rsidRPr="008F23CC">
        <w:rPr>
          <w:rFonts w:ascii="Times New Roman" w:hAnsi="Times New Roman" w:cs="Times New Roman"/>
          <w:color w:val="000000"/>
          <w:sz w:val="20"/>
          <w:szCs w:val="20"/>
          <w:lang w:val="en-US"/>
        </w:rPr>
        <w:t>.</w:t>
      </w:r>
    </w:p>
    <w:p w:rsidR="005F0129" w:rsidRDefault="0052073B"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With operation voltages</w:t>
      </w:r>
      <w:r w:rsidR="00113BE5" w:rsidRPr="008F23CC">
        <w:rPr>
          <w:rFonts w:ascii="Times New Roman" w:hAnsi="Times New Roman" w:cs="Times New Roman"/>
          <w:color w:val="000000"/>
          <w:sz w:val="20"/>
          <w:szCs w:val="20"/>
          <w:lang w:val="en-US"/>
        </w:rPr>
        <w:t xml:space="preserve"> </w:t>
      </w:r>
      <w:r w:rsidR="0056492A" w:rsidRPr="008F23CC">
        <w:rPr>
          <w:rFonts w:ascii="Times New Roman" w:hAnsi="Times New Roman" w:cs="Times New Roman"/>
          <w:color w:val="000000"/>
          <w:sz w:val="20"/>
          <w:szCs w:val="20"/>
          <w:lang w:val="en-US"/>
        </w:rPr>
        <w:t xml:space="preserve"> </w:t>
      </w:r>
      <w:r w:rsidR="00CD2F7F">
        <w:rPr>
          <w:rFonts w:ascii="Times New Roman" w:hAnsi="Times New Roman" w:cs="Times New Roman"/>
          <w:color w:val="000000"/>
          <w:sz w:val="20"/>
          <w:szCs w:val="20"/>
          <w:lang w:val="en-US"/>
        </w:rPr>
        <w:t xml:space="preserve">of </w:t>
      </w:r>
      <w:r w:rsidR="00113BE5" w:rsidRPr="008F23CC">
        <w:rPr>
          <w:rFonts w:ascii="Times New Roman" w:hAnsi="Times New Roman" w:cs="Times New Roman"/>
          <w:color w:val="000000"/>
          <w:sz w:val="20"/>
          <w:szCs w:val="20"/>
          <w:lang w:val="en-US"/>
        </w:rPr>
        <w:t xml:space="preserve">0.7 </w:t>
      </w:r>
      <w:r>
        <w:rPr>
          <w:rFonts w:ascii="Times New Roman" w:hAnsi="Times New Roman" w:cs="Times New Roman"/>
          <w:color w:val="000000"/>
          <w:sz w:val="20"/>
          <w:szCs w:val="20"/>
          <w:lang w:val="en-US"/>
        </w:rPr>
        <w:t>–</w:t>
      </w:r>
      <w:r w:rsidR="00113BE5" w:rsidRPr="008F23CC">
        <w:rPr>
          <w:rFonts w:ascii="Times New Roman" w:hAnsi="Times New Roman" w:cs="Times New Roman"/>
          <w:color w:val="000000"/>
          <w:sz w:val="20"/>
          <w:szCs w:val="20"/>
          <w:lang w:val="en-US"/>
        </w:rPr>
        <w:t xml:space="preserve"> 0.75 V</w:t>
      </w:r>
      <w:r w:rsidR="0056492A" w:rsidRPr="008F23CC">
        <w:rPr>
          <w:rFonts w:ascii="Times New Roman" w:hAnsi="Times New Roman" w:cs="Times New Roman"/>
          <w:color w:val="000000"/>
          <w:sz w:val="20"/>
          <w:szCs w:val="20"/>
          <w:lang w:val="en-US"/>
        </w:rPr>
        <w:t xml:space="preserve">, the maximum efficiency </w:t>
      </w:r>
      <w:r w:rsidR="00113BE5" w:rsidRPr="008F23CC">
        <w:rPr>
          <w:rFonts w:ascii="Times New Roman" w:hAnsi="Times New Roman" w:cs="Times New Roman"/>
          <w:color w:val="000000"/>
          <w:sz w:val="20"/>
          <w:szCs w:val="20"/>
          <w:lang w:val="en-US"/>
        </w:rPr>
        <w:t xml:space="preserve">of PEFCs </w:t>
      </w:r>
      <w:r w:rsidR="00683C17" w:rsidRPr="008F23CC">
        <w:rPr>
          <w:rFonts w:ascii="Times New Roman" w:hAnsi="Times New Roman" w:cs="Times New Roman"/>
          <w:color w:val="000000"/>
          <w:sz w:val="20"/>
          <w:szCs w:val="20"/>
          <w:lang w:val="en-US"/>
        </w:rPr>
        <w:t>can be as high as</w:t>
      </w:r>
      <w:r w:rsidR="0056492A" w:rsidRPr="008F23CC">
        <w:rPr>
          <w:rFonts w:ascii="Times New Roman" w:hAnsi="Times New Roman" w:cs="Times New Roman"/>
          <w:color w:val="000000"/>
          <w:sz w:val="20"/>
          <w:szCs w:val="20"/>
          <w:lang w:val="en-US"/>
        </w:rPr>
        <w:t xml:space="preserve"> 64%. In </w:t>
      </w:r>
      <w:r w:rsidR="00113BE5" w:rsidRPr="008F23CC">
        <w:rPr>
          <w:rFonts w:ascii="Times New Roman" w:hAnsi="Times New Roman" w:cs="Times New Roman"/>
          <w:color w:val="000000"/>
          <w:sz w:val="20"/>
          <w:szCs w:val="20"/>
          <w:lang w:val="en-US"/>
        </w:rPr>
        <w:t>today’s</w:t>
      </w:r>
      <w:r w:rsidR="0056492A" w:rsidRPr="008F23CC">
        <w:rPr>
          <w:rFonts w:ascii="Times New Roman" w:hAnsi="Times New Roman" w:cs="Times New Roman"/>
          <w:color w:val="000000"/>
          <w:sz w:val="20"/>
          <w:szCs w:val="20"/>
          <w:lang w:val="en-US"/>
        </w:rPr>
        <w:t xml:space="preserve"> applications,</w:t>
      </w:r>
      <w:r w:rsidR="003A52A4" w:rsidRPr="008F23CC">
        <w:rPr>
          <w:rFonts w:ascii="Times New Roman" w:hAnsi="Times New Roman" w:cs="Times New Roman"/>
          <w:color w:val="000000"/>
          <w:sz w:val="20"/>
          <w:szCs w:val="20"/>
          <w:lang w:val="en-US"/>
        </w:rPr>
        <w:t xml:space="preserve"> </w:t>
      </w:r>
      <w:r w:rsidR="0056492A" w:rsidRPr="008F23CC">
        <w:rPr>
          <w:rFonts w:ascii="Times New Roman" w:hAnsi="Times New Roman" w:cs="Times New Roman"/>
          <w:color w:val="000000"/>
          <w:sz w:val="20"/>
          <w:szCs w:val="20"/>
          <w:lang w:val="en-US"/>
        </w:rPr>
        <w:t>certain losses and ancillary equipment lower the efficiency</w:t>
      </w:r>
      <w:r w:rsidR="00113BE5" w:rsidRPr="008F23CC">
        <w:rPr>
          <w:rFonts w:ascii="Times New Roman" w:hAnsi="Times New Roman" w:cs="Times New Roman"/>
          <w:color w:val="000000"/>
          <w:sz w:val="20"/>
          <w:szCs w:val="20"/>
          <w:lang w:val="en-US"/>
        </w:rPr>
        <w:t xml:space="preserve">, resulting in a situation in </w:t>
      </w:r>
      <w:r w:rsidR="00113BE5" w:rsidRPr="008F23CC">
        <w:rPr>
          <w:rFonts w:ascii="Times New Roman" w:hAnsi="Times New Roman" w:cs="Times New Roman"/>
          <w:color w:val="000000"/>
          <w:sz w:val="20"/>
          <w:szCs w:val="20"/>
          <w:lang w:val="en-US"/>
        </w:rPr>
        <w:lastRenderedPageBreak/>
        <w:t>which</w:t>
      </w:r>
      <w:r w:rsidR="0056492A" w:rsidRPr="008F23CC">
        <w:rPr>
          <w:rFonts w:ascii="Times New Roman" w:hAnsi="Times New Roman" w:cs="Times New Roman"/>
          <w:color w:val="000000"/>
          <w:sz w:val="20"/>
          <w:szCs w:val="20"/>
          <w:lang w:val="en-US"/>
        </w:rPr>
        <w:t xml:space="preserve"> </w:t>
      </w:r>
      <w:r w:rsidR="00113BE5" w:rsidRPr="008F23CC">
        <w:rPr>
          <w:rFonts w:ascii="Times New Roman" w:hAnsi="Times New Roman" w:cs="Times New Roman"/>
          <w:color w:val="000000"/>
          <w:sz w:val="20"/>
          <w:szCs w:val="20"/>
          <w:lang w:val="en-US"/>
        </w:rPr>
        <w:t>PEFCs</w:t>
      </w:r>
      <w:r w:rsidR="0056492A" w:rsidRPr="008F23CC">
        <w:rPr>
          <w:rFonts w:ascii="Times New Roman" w:hAnsi="Times New Roman" w:cs="Times New Roman"/>
          <w:color w:val="000000"/>
          <w:sz w:val="20"/>
          <w:szCs w:val="20"/>
          <w:lang w:val="en-US"/>
        </w:rPr>
        <w:t xml:space="preserve"> are more efficient than internal combustion engines </w:t>
      </w:r>
      <w:r w:rsidR="00113BE5" w:rsidRPr="008F23CC">
        <w:rPr>
          <w:rFonts w:ascii="Times New Roman" w:hAnsi="Times New Roman" w:cs="Times New Roman"/>
          <w:color w:val="000000"/>
          <w:sz w:val="20"/>
          <w:szCs w:val="20"/>
          <w:lang w:val="en-US"/>
        </w:rPr>
        <w:t>only for</w:t>
      </w:r>
      <w:r w:rsidR="003A52A4" w:rsidRPr="008F23CC">
        <w:rPr>
          <w:rFonts w:ascii="Times New Roman" w:hAnsi="Times New Roman" w:cs="Times New Roman"/>
          <w:color w:val="000000"/>
          <w:sz w:val="20"/>
          <w:szCs w:val="20"/>
          <w:lang w:val="en-US"/>
        </w:rPr>
        <w:t xml:space="preserve"> </w:t>
      </w:r>
      <w:r w:rsidR="00113BE5" w:rsidRPr="008F23CC">
        <w:rPr>
          <w:rFonts w:ascii="Times New Roman" w:hAnsi="Times New Roman" w:cs="Times New Roman"/>
          <w:color w:val="000000"/>
          <w:sz w:val="20"/>
          <w:szCs w:val="20"/>
          <w:lang w:val="en-US"/>
        </w:rPr>
        <w:t>operation at partial loads</w:t>
      </w:r>
      <w:r w:rsidR="0056492A" w:rsidRPr="008F23CC">
        <w:rPr>
          <w:rFonts w:ascii="Times New Roman" w:hAnsi="Times New Roman" w:cs="Times New Roman"/>
          <w:color w:val="000000"/>
          <w:sz w:val="20"/>
          <w:szCs w:val="20"/>
          <w:lang w:val="en-US"/>
        </w:rPr>
        <w:t xml:space="preserve"> [</w:t>
      </w:r>
      <w:r w:rsidR="00D11295">
        <w:rPr>
          <w:rFonts w:ascii="Times New Roman" w:hAnsi="Times New Roman" w:cs="Times New Roman"/>
          <w:color w:val="000000"/>
          <w:sz w:val="20"/>
          <w:szCs w:val="20"/>
          <w:lang w:val="en-US"/>
        </w:rPr>
        <w:t>2,14</w:t>
      </w:r>
      <w:r w:rsidR="0056492A" w:rsidRPr="008F23CC">
        <w:rPr>
          <w:rFonts w:ascii="Times New Roman" w:hAnsi="Times New Roman" w:cs="Times New Roman"/>
          <w:color w:val="000000"/>
          <w:sz w:val="20"/>
          <w:szCs w:val="20"/>
          <w:lang w:val="en-US"/>
        </w:rPr>
        <w:t>]</w:t>
      </w:r>
      <w:r w:rsidR="00113BE5" w:rsidRPr="008F23CC">
        <w:rPr>
          <w:rFonts w:ascii="Times New Roman" w:hAnsi="Times New Roman" w:cs="Times New Roman"/>
          <w:color w:val="000000"/>
          <w:sz w:val="20"/>
          <w:szCs w:val="20"/>
          <w:lang w:val="en-US"/>
        </w:rPr>
        <w:t xml:space="preserve">. </w:t>
      </w:r>
      <w:r w:rsidR="00B9184E">
        <w:rPr>
          <w:rFonts w:ascii="Times New Roman" w:hAnsi="Times New Roman" w:cs="Times New Roman"/>
          <w:color w:val="000000"/>
          <w:sz w:val="20"/>
          <w:szCs w:val="20"/>
          <w:lang w:val="en-US"/>
        </w:rPr>
        <w:t>Current – Voltage p</w:t>
      </w:r>
      <w:r w:rsidR="007A3EC8" w:rsidRPr="008F23CC">
        <w:rPr>
          <w:rFonts w:ascii="Times New Roman" w:hAnsi="Times New Roman" w:cs="Times New Roman"/>
          <w:sz w:val="20"/>
          <w:szCs w:val="20"/>
          <w:lang w:val="en-US"/>
        </w:rPr>
        <w:t>erformance characteristics of up to 5 kWe PEMFC are in the range of 0.5 – 0.76 V/cell for current densities of 0.55 – 1 A/cm</w:t>
      </w:r>
      <w:r w:rsidR="007A3EC8" w:rsidRPr="008F23CC">
        <w:rPr>
          <w:rFonts w:ascii="Times New Roman" w:hAnsi="Times New Roman" w:cs="Times New Roman"/>
          <w:sz w:val="20"/>
          <w:szCs w:val="20"/>
          <w:vertAlign w:val="superscript"/>
          <w:lang w:val="en-US"/>
        </w:rPr>
        <w:t>2</w:t>
      </w:r>
      <w:r w:rsidR="007A3EC8" w:rsidRPr="008F23CC">
        <w:rPr>
          <w:rFonts w:ascii="Times New Roman" w:hAnsi="Times New Roman" w:cs="Times New Roman"/>
          <w:sz w:val="20"/>
          <w:szCs w:val="20"/>
          <w:lang w:val="en-US"/>
        </w:rPr>
        <w:t xml:space="preserve"> and power densities of 0.22 – </w:t>
      </w:r>
      <w:r w:rsidR="005E3708" w:rsidRPr="008F23CC">
        <w:rPr>
          <w:rFonts w:ascii="Times New Roman" w:hAnsi="Times New Roman" w:cs="Times New Roman"/>
          <w:sz w:val="20"/>
          <w:szCs w:val="20"/>
          <w:lang w:val="en-US"/>
        </w:rPr>
        <w:t>0.</w:t>
      </w:r>
      <w:r w:rsidR="007A3EC8" w:rsidRPr="008F23CC">
        <w:rPr>
          <w:rFonts w:ascii="Times New Roman" w:hAnsi="Times New Roman" w:cs="Times New Roman"/>
          <w:sz w:val="20"/>
          <w:szCs w:val="20"/>
          <w:lang w:val="en-US"/>
        </w:rPr>
        <w:t>57 W</w:t>
      </w:r>
      <w:r w:rsidR="007A3EC8" w:rsidRPr="008F23CC">
        <w:rPr>
          <w:rFonts w:ascii="Times New Roman" w:hAnsi="Times New Roman" w:cs="Times New Roman"/>
          <w:sz w:val="20"/>
          <w:szCs w:val="20"/>
          <w:vertAlign w:val="subscript"/>
          <w:lang w:val="en-US"/>
        </w:rPr>
        <w:t>e</w:t>
      </w:r>
      <w:r w:rsidR="007A3EC8" w:rsidRPr="008F23CC">
        <w:rPr>
          <w:rFonts w:ascii="Times New Roman" w:hAnsi="Times New Roman" w:cs="Times New Roman"/>
          <w:sz w:val="20"/>
          <w:szCs w:val="20"/>
          <w:lang w:val="en-US"/>
        </w:rPr>
        <w:t>/cm</w:t>
      </w:r>
      <w:r w:rsidR="007A3EC8" w:rsidRPr="008F23CC">
        <w:rPr>
          <w:rFonts w:ascii="Times New Roman" w:hAnsi="Times New Roman" w:cs="Times New Roman"/>
          <w:sz w:val="20"/>
          <w:szCs w:val="20"/>
          <w:vertAlign w:val="superscript"/>
          <w:lang w:val="en-US"/>
        </w:rPr>
        <w:t>2</w:t>
      </w:r>
      <w:r w:rsidR="007A3EC8" w:rsidRPr="008F23CC">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15</w:t>
      </w:r>
      <w:r w:rsidR="007A3EC8" w:rsidRPr="008F23CC">
        <w:rPr>
          <w:rFonts w:ascii="Times New Roman" w:hAnsi="Times New Roman" w:cs="Times New Roman"/>
          <w:sz w:val="20"/>
          <w:szCs w:val="20"/>
          <w:lang w:val="en-US"/>
        </w:rPr>
        <w:t xml:space="preserve">]. </w:t>
      </w:r>
      <w:r w:rsidR="003D3EC3" w:rsidRPr="008F23CC">
        <w:rPr>
          <w:rFonts w:ascii="Times New Roman" w:hAnsi="Times New Roman" w:cs="Times New Roman"/>
          <w:sz w:val="20"/>
          <w:szCs w:val="20"/>
          <w:lang w:val="en-US"/>
        </w:rPr>
        <w:t xml:space="preserve">Operating temperature has a significant influence on </w:t>
      </w:r>
      <w:r w:rsidR="00B61937" w:rsidRPr="008F23CC">
        <w:rPr>
          <w:rFonts w:ascii="Times New Roman" w:hAnsi="Times New Roman" w:cs="Times New Roman"/>
          <w:sz w:val="20"/>
          <w:szCs w:val="20"/>
          <w:lang w:val="en-US"/>
        </w:rPr>
        <w:t>performance</w:t>
      </w:r>
      <w:r>
        <w:rPr>
          <w:rFonts w:ascii="Times New Roman" w:hAnsi="Times New Roman" w:cs="Times New Roman"/>
          <w:sz w:val="20"/>
          <w:szCs w:val="20"/>
          <w:lang w:val="en-US"/>
        </w:rPr>
        <w:t xml:space="preserve"> (</w:t>
      </w:r>
      <w:r w:rsidR="003D3EC3" w:rsidRPr="008F23CC">
        <w:rPr>
          <w:rFonts w:ascii="Times New Roman" w:hAnsi="Times New Roman" w:cs="Times New Roman"/>
          <w:sz w:val="20"/>
          <w:szCs w:val="20"/>
          <w:lang w:val="en-US"/>
        </w:rPr>
        <w:t>decrease</w:t>
      </w:r>
      <w:r>
        <w:rPr>
          <w:rFonts w:ascii="Times New Roman" w:hAnsi="Times New Roman" w:cs="Times New Roman"/>
          <w:sz w:val="20"/>
          <w:szCs w:val="20"/>
          <w:lang w:val="en-US"/>
        </w:rPr>
        <w:t xml:space="preserve"> of</w:t>
      </w:r>
      <w:r w:rsidR="003D3EC3" w:rsidRPr="008F23CC">
        <w:rPr>
          <w:rFonts w:ascii="Times New Roman" w:hAnsi="Times New Roman" w:cs="Times New Roman"/>
          <w:sz w:val="20"/>
          <w:szCs w:val="20"/>
          <w:lang w:val="en-US"/>
        </w:rPr>
        <w:t xml:space="preserve"> the ohmic resistance of the electrolyte</w:t>
      </w:r>
      <w:r w:rsidR="00B61937" w:rsidRPr="008F23CC">
        <w:rPr>
          <w:rFonts w:ascii="Times New Roman" w:hAnsi="Times New Roman" w:cs="Times New Roman"/>
          <w:sz w:val="20"/>
          <w:szCs w:val="20"/>
          <w:lang w:val="en-US"/>
        </w:rPr>
        <w:t xml:space="preserve"> and</w:t>
      </w:r>
      <w:r w:rsidR="003D3EC3" w:rsidRPr="008F23CC">
        <w:rPr>
          <w:rFonts w:ascii="Times New Roman" w:hAnsi="Times New Roman" w:cs="Times New Roman"/>
          <w:sz w:val="20"/>
          <w:szCs w:val="20"/>
          <w:lang w:val="en-US"/>
        </w:rPr>
        <w:t xml:space="preserve"> mass transport limitations</w:t>
      </w:r>
      <w:r>
        <w:rPr>
          <w:rFonts w:ascii="Times New Roman" w:hAnsi="Times New Roman" w:cs="Times New Roman"/>
          <w:sz w:val="20"/>
          <w:szCs w:val="20"/>
          <w:lang w:val="en-US"/>
        </w:rPr>
        <w:t>)</w:t>
      </w:r>
      <w:r w:rsidR="00B61937" w:rsidRPr="008F23CC">
        <w:rPr>
          <w:rFonts w:ascii="Times New Roman" w:hAnsi="Times New Roman" w:cs="Times New Roman"/>
          <w:sz w:val="20"/>
          <w:szCs w:val="20"/>
          <w:lang w:val="en-US"/>
        </w:rPr>
        <w:t>, result</w:t>
      </w:r>
      <w:r>
        <w:rPr>
          <w:rFonts w:ascii="Times New Roman" w:hAnsi="Times New Roman" w:cs="Times New Roman"/>
          <w:sz w:val="20"/>
          <w:szCs w:val="20"/>
          <w:lang w:val="en-US"/>
        </w:rPr>
        <w:t>ing</w:t>
      </w:r>
      <w:r w:rsidR="003D3EC3" w:rsidRPr="008F23CC">
        <w:rPr>
          <w:rFonts w:ascii="Times New Roman" w:hAnsi="Times New Roman" w:cs="Times New Roman"/>
          <w:sz w:val="20"/>
          <w:szCs w:val="20"/>
          <w:lang w:val="en-US"/>
        </w:rPr>
        <w:t xml:space="preserve"> </w:t>
      </w:r>
      <w:r w:rsidR="00B61937" w:rsidRPr="008F23CC">
        <w:rPr>
          <w:rFonts w:ascii="Times New Roman" w:hAnsi="Times New Roman" w:cs="Times New Roman"/>
          <w:sz w:val="20"/>
          <w:szCs w:val="20"/>
          <w:lang w:val="en-US"/>
        </w:rPr>
        <w:t xml:space="preserve">a voltage gain of 1.1 - 2.5 mV </w:t>
      </w:r>
      <w:r>
        <w:rPr>
          <w:rFonts w:ascii="Times New Roman" w:hAnsi="Times New Roman" w:cs="Times New Roman"/>
          <w:sz w:val="20"/>
          <w:szCs w:val="20"/>
          <w:lang w:val="en-US"/>
        </w:rPr>
        <w:t xml:space="preserve">/ </w:t>
      </w:r>
      <w:r w:rsidR="00B61937" w:rsidRPr="008F23CC">
        <w:rPr>
          <w:rFonts w:ascii="Times New Roman" w:hAnsi="Times New Roman" w:cs="Times New Roman"/>
          <w:sz w:val="20"/>
          <w:szCs w:val="20"/>
          <w:lang w:val="en-US"/>
        </w:rPr>
        <w:t>°C</w:t>
      </w:r>
      <w:r w:rsidR="003D3EC3" w:rsidRPr="008F23CC">
        <w:rPr>
          <w:rFonts w:ascii="Times New Roman" w:hAnsi="Times New Roman" w:cs="Times New Roman"/>
          <w:sz w:val="20"/>
          <w:szCs w:val="20"/>
          <w:lang w:val="en-US"/>
        </w:rPr>
        <w:t xml:space="preserve"> </w:t>
      </w:r>
      <w:r w:rsidR="00D11295">
        <w:rPr>
          <w:rFonts w:ascii="Times New Roman" w:hAnsi="Times New Roman" w:cs="Times New Roman"/>
          <w:sz w:val="20"/>
          <w:szCs w:val="20"/>
          <w:lang w:val="en-US"/>
        </w:rPr>
        <w:t>[1,16]</w:t>
      </w:r>
      <w:r w:rsidR="003D3EC3" w:rsidRPr="008F23CC">
        <w:rPr>
          <w:rFonts w:ascii="Times New Roman" w:hAnsi="Times New Roman" w:cs="Times New Roman"/>
          <w:sz w:val="20"/>
          <w:szCs w:val="20"/>
          <w:lang w:val="en-US"/>
        </w:rPr>
        <w:t xml:space="preserve">. Improving the cell performance through temperature, however, is limited by water </w:t>
      </w:r>
      <w:r w:rsidR="00B61937" w:rsidRPr="008F23CC">
        <w:rPr>
          <w:rFonts w:ascii="Times New Roman" w:hAnsi="Times New Roman" w:cs="Times New Roman"/>
          <w:sz w:val="20"/>
          <w:szCs w:val="20"/>
          <w:lang w:val="en-US"/>
        </w:rPr>
        <w:t>management issues</w:t>
      </w:r>
      <w:r w:rsidR="003D3EC3" w:rsidRPr="008F23CC">
        <w:rPr>
          <w:rFonts w:ascii="Times New Roman" w:hAnsi="Times New Roman" w:cs="Times New Roman"/>
          <w:sz w:val="20"/>
          <w:szCs w:val="20"/>
          <w:lang w:val="en-US"/>
        </w:rPr>
        <w:t xml:space="preserve">. </w:t>
      </w:r>
      <w:r w:rsidR="006C51B7" w:rsidRPr="008F23CC">
        <w:rPr>
          <w:rFonts w:ascii="Times New Roman" w:hAnsi="Times New Roman" w:cs="Times New Roman"/>
          <w:sz w:val="20"/>
          <w:szCs w:val="20"/>
          <w:lang w:val="en-US"/>
        </w:rPr>
        <w:t>The goal for stationary</w:t>
      </w:r>
      <w:r w:rsidR="005C6934" w:rsidRPr="008F23CC">
        <w:rPr>
          <w:rFonts w:ascii="Times New Roman" w:hAnsi="Times New Roman" w:cs="Times New Roman"/>
          <w:sz w:val="20"/>
          <w:szCs w:val="20"/>
          <w:lang w:val="en-US"/>
        </w:rPr>
        <w:t xml:space="preserve"> </w:t>
      </w:r>
      <w:r w:rsidR="00437FF2" w:rsidRPr="008F23CC">
        <w:rPr>
          <w:rFonts w:ascii="Times New Roman" w:hAnsi="Times New Roman" w:cs="Times New Roman"/>
          <w:sz w:val="20"/>
          <w:szCs w:val="20"/>
          <w:lang w:val="en-US"/>
        </w:rPr>
        <w:t xml:space="preserve">PEFC </w:t>
      </w:r>
      <w:r w:rsidR="006C51B7" w:rsidRPr="008F23CC">
        <w:rPr>
          <w:rFonts w:ascii="Times New Roman" w:hAnsi="Times New Roman" w:cs="Times New Roman"/>
          <w:sz w:val="20"/>
          <w:szCs w:val="20"/>
          <w:lang w:val="en-US"/>
        </w:rPr>
        <w:t xml:space="preserve">operating life </w:t>
      </w:r>
      <w:r w:rsidR="00437FF2" w:rsidRPr="008F23CC">
        <w:rPr>
          <w:rFonts w:ascii="Times New Roman" w:hAnsi="Times New Roman" w:cs="Times New Roman"/>
          <w:sz w:val="20"/>
          <w:szCs w:val="20"/>
          <w:lang w:val="en-US"/>
        </w:rPr>
        <w:t>is</w:t>
      </w:r>
      <w:r w:rsidR="006C51B7" w:rsidRPr="008F23CC">
        <w:rPr>
          <w:rFonts w:ascii="Times New Roman" w:hAnsi="Times New Roman" w:cs="Times New Roman"/>
          <w:sz w:val="20"/>
          <w:szCs w:val="20"/>
          <w:lang w:val="en-US"/>
        </w:rPr>
        <w:t xml:space="preserve"> 40</w:t>
      </w:r>
      <w:r w:rsidR="00437FF2" w:rsidRPr="008F23CC">
        <w:rPr>
          <w:rFonts w:ascii="Times New Roman" w:hAnsi="Times New Roman" w:cs="Times New Roman"/>
          <w:sz w:val="20"/>
          <w:szCs w:val="20"/>
          <w:lang w:val="en-US"/>
        </w:rPr>
        <w:t>,</w:t>
      </w:r>
      <w:r w:rsidR="006C51B7" w:rsidRPr="008F23CC">
        <w:rPr>
          <w:rFonts w:ascii="Times New Roman" w:hAnsi="Times New Roman" w:cs="Times New Roman"/>
          <w:sz w:val="20"/>
          <w:szCs w:val="20"/>
          <w:lang w:val="en-US"/>
        </w:rPr>
        <w:t>000</w:t>
      </w:r>
      <w:r w:rsidR="00437FF2" w:rsidRPr="008F23CC">
        <w:rPr>
          <w:rFonts w:ascii="Times New Roman" w:hAnsi="Times New Roman" w:cs="Times New Roman"/>
          <w:sz w:val="20"/>
          <w:szCs w:val="20"/>
          <w:lang w:val="en-US"/>
        </w:rPr>
        <w:t xml:space="preserve"> – </w:t>
      </w:r>
      <w:r w:rsidR="006C51B7" w:rsidRPr="008F23CC">
        <w:rPr>
          <w:rFonts w:ascii="Times New Roman" w:hAnsi="Times New Roman" w:cs="Times New Roman"/>
          <w:sz w:val="20"/>
          <w:szCs w:val="20"/>
          <w:lang w:val="en-US"/>
        </w:rPr>
        <w:t>60</w:t>
      </w:r>
      <w:r w:rsidR="00437FF2" w:rsidRPr="008F23CC">
        <w:rPr>
          <w:rFonts w:ascii="Times New Roman" w:hAnsi="Times New Roman" w:cs="Times New Roman"/>
          <w:sz w:val="20"/>
          <w:szCs w:val="20"/>
          <w:lang w:val="en-US"/>
        </w:rPr>
        <w:t>.</w:t>
      </w:r>
      <w:r w:rsidR="006C51B7" w:rsidRPr="008F23CC">
        <w:rPr>
          <w:rFonts w:ascii="Times New Roman" w:hAnsi="Times New Roman" w:cs="Times New Roman"/>
          <w:sz w:val="20"/>
          <w:szCs w:val="20"/>
          <w:lang w:val="en-US"/>
        </w:rPr>
        <w:t>000 hours or 5</w:t>
      </w:r>
      <w:r w:rsidR="000D78BC" w:rsidRPr="008F23CC">
        <w:rPr>
          <w:rFonts w:ascii="Times New Roman" w:hAnsi="Times New Roman" w:cs="Times New Roman"/>
          <w:sz w:val="20"/>
          <w:szCs w:val="20"/>
          <w:lang w:val="en-US"/>
        </w:rPr>
        <w:t xml:space="preserve"> – </w:t>
      </w:r>
      <w:r w:rsidR="006C51B7" w:rsidRPr="008F23CC">
        <w:rPr>
          <w:rFonts w:ascii="Times New Roman" w:hAnsi="Times New Roman" w:cs="Times New Roman"/>
          <w:sz w:val="20"/>
          <w:szCs w:val="20"/>
          <w:lang w:val="en-US"/>
        </w:rPr>
        <w:t>8</w:t>
      </w:r>
      <w:r w:rsidR="000D78BC" w:rsidRPr="008F23CC">
        <w:rPr>
          <w:rFonts w:ascii="Times New Roman" w:hAnsi="Times New Roman" w:cs="Times New Roman"/>
          <w:sz w:val="20"/>
          <w:szCs w:val="20"/>
          <w:lang w:val="en-US"/>
        </w:rPr>
        <w:t xml:space="preserve"> </w:t>
      </w:r>
      <w:r w:rsidR="006C51B7" w:rsidRPr="008F23CC">
        <w:rPr>
          <w:rFonts w:ascii="Times New Roman" w:hAnsi="Times New Roman" w:cs="Times New Roman"/>
          <w:sz w:val="20"/>
          <w:szCs w:val="20"/>
          <w:lang w:val="en-US"/>
        </w:rPr>
        <w:t xml:space="preserve">years </w:t>
      </w:r>
      <w:r w:rsidR="00D11295">
        <w:rPr>
          <w:rFonts w:ascii="Times New Roman" w:hAnsi="Times New Roman" w:cs="Times New Roman"/>
          <w:sz w:val="20"/>
          <w:szCs w:val="20"/>
          <w:lang w:val="en-US"/>
        </w:rPr>
        <w:t>[17]</w:t>
      </w:r>
      <w:r w:rsidR="006C51B7" w:rsidRPr="008F23CC">
        <w:rPr>
          <w:rFonts w:ascii="Times New Roman" w:hAnsi="Times New Roman" w:cs="Times New Roman"/>
          <w:sz w:val="20"/>
          <w:szCs w:val="20"/>
          <w:lang w:val="en-US"/>
        </w:rPr>
        <w:t xml:space="preserve">. </w:t>
      </w:r>
      <w:r w:rsidR="00437FF2" w:rsidRPr="008F23CC">
        <w:rPr>
          <w:rFonts w:ascii="Times New Roman" w:hAnsi="Times New Roman" w:cs="Times New Roman"/>
          <w:sz w:val="20"/>
          <w:szCs w:val="20"/>
          <w:lang w:val="en-US"/>
        </w:rPr>
        <w:t>This</w:t>
      </w:r>
      <w:r w:rsidR="006C51B7" w:rsidRPr="008F23CC">
        <w:rPr>
          <w:rFonts w:ascii="Times New Roman" w:hAnsi="Times New Roman" w:cs="Times New Roman"/>
          <w:sz w:val="20"/>
          <w:szCs w:val="20"/>
          <w:lang w:val="en-US"/>
        </w:rPr>
        <w:t xml:space="preserve"> life depends to a large extent on the operating</w:t>
      </w:r>
      <w:r w:rsidR="005C6934" w:rsidRPr="008F23CC">
        <w:rPr>
          <w:rFonts w:ascii="Times New Roman" w:hAnsi="Times New Roman" w:cs="Times New Roman"/>
          <w:sz w:val="20"/>
          <w:szCs w:val="20"/>
          <w:lang w:val="en-US"/>
        </w:rPr>
        <w:t xml:space="preserve"> </w:t>
      </w:r>
      <w:r w:rsidR="006C51B7" w:rsidRPr="008F23CC">
        <w:rPr>
          <w:rFonts w:ascii="Times New Roman" w:hAnsi="Times New Roman" w:cs="Times New Roman"/>
          <w:sz w:val="20"/>
          <w:szCs w:val="20"/>
          <w:lang w:val="en-US"/>
        </w:rPr>
        <w:t>conditions, such as the external temperature at start-up, excessive or insufficient humidification,</w:t>
      </w:r>
      <w:r w:rsidR="005C6934" w:rsidRPr="008F23CC">
        <w:rPr>
          <w:rFonts w:ascii="Times New Roman" w:hAnsi="Times New Roman" w:cs="Times New Roman"/>
          <w:sz w:val="20"/>
          <w:szCs w:val="20"/>
          <w:lang w:val="en-US"/>
        </w:rPr>
        <w:t xml:space="preserve"> </w:t>
      </w:r>
      <w:r w:rsidR="006C51B7" w:rsidRPr="008F23CC">
        <w:rPr>
          <w:rFonts w:ascii="Times New Roman" w:hAnsi="Times New Roman" w:cs="Times New Roman"/>
          <w:sz w:val="20"/>
          <w:szCs w:val="20"/>
          <w:lang w:val="en-US"/>
        </w:rPr>
        <w:t xml:space="preserve">and fuel purity. </w:t>
      </w:r>
      <w:r w:rsidR="00FF4297" w:rsidRPr="008F23CC">
        <w:rPr>
          <w:rFonts w:ascii="Times New Roman" w:hAnsi="Times New Roman" w:cs="Times New Roman"/>
          <w:sz w:val="20"/>
          <w:szCs w:val="20"/>
          <w:lang w:val="en-US"/>
        </w:rPr>
        <w:t>The principal areas of development concern improved cell membranes and electrode design</w:t>
      </w:r>
      <w:r w:rsidR="000D78BC" w:rsidRPr="008F23CC">
        <w:rPr>
          <w:rFonts w:ascii="Times New Roman" w:hAnsi="Times New Roman" w:cs="Times New Roman"/>
          <w:sz w:val="20"/>
          <w:szCs w:val="20"/>
          <w:lang w:val="en-US"/>
        </w:rPr>
        <w:t>s</w:t>
      </w:r>
      <w:r w:rsidR="00FF4297" w:rsidRPr="008F23CC">
        <w:rPr>
          <w:rFonts w:ascii="Times New Roman" w:hAnsi="Times New Roman" w:cs="Times New Roman"/>
          <w:sz w:val="20"/>
          <w:szCs w:val="20"/>
          <w:lang w:val="en-US"/>
        </w:rPr>
        <w:t xml:space="preserve">, targeting </w:t>
      </w:r>
      <w:r w:rsidR="000D78BC" w:rsidRPr="008F23CC">
        <w:rPr>
          <w:rFonts w:ascii="Times New Roman" w:hAnsi="Times New Roman" w:cs="Times New Roman"/>
          <w:sz w:val="20"/>
          <w:szCs w:val="20"/>
          <w:lang w:val="en-US"/>
        </w:rPr>
        <w:t xml:space="preserve">to </w:t>
      </w:r>
      <w:r w:rsidR="00753D4B" w:rsidRPr="008F23CC">
        <w:rPr>
          <w:rFonts w:ascii="Times New Roman" w:hAnsi="Times New Roman" w:cs="Times New Roman"/>
          <w:sz w:val="20"/>
          <w:szCs w:val="20"/>
          <w:lang w:val="en-US"/>
        </w:rPr>
        <w:t xml:space="preserve">improve performance and reduce cost </w:t>
      </w:r>
      <w:r w:rsidR="00D11295">
        <w:rPr>
          <w:rFonts w:ascii="Times New Roman" w:hAnsi="Times New Roman" w:cs="Times New Roman"/>
          <w:sz w:val="20"/>
          <w:szCs w:val="20"/>
          <w:lang w:val="en-US"/>
        </w:rPr>
        <w:t>[1,18,19,20]</w:t>
      </w:r>
      <w:r w:rsidR="00FF4297" w:rsidRPr="008F23CC">
        <w:rPr>
          <w:rFonts w:ascii="Times New Roman" w:hAnsi="Times New Roman" w:cs="Times New Roman"/>
          <w:sz w:val="20"/>
          <w:szCs w:val="20"/>
          <w:lang w:val="en-US"/>
        </w:rPr>
        <w:t xml:space="preserve">. </w:t>
      </w:r>
    </w:p>
    <w:p w:rsidR="00753D4B" w:rsidRDefault="00753D4B"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1C7BFF" w:rsidRPr="00936ADD" w:rsidRDefault="001C7BFF" w:rsidP="001C7BFF">
      <w:pPr>
        <w:widowControl w:val="0"/>
        <w:autoSpaceDE w:val="0"/>
        <w:autoSpaceDN w:val="0"/>
        <w:adjustRightInd w:val="0"/>
        <w:spacing w:after="0" w:line="240" w:lineRule="auto"/>
        <w:jc w:val="both"/>
        <w:rPr>
          <w:rFonts w:ascii="Times New Roman" w:hAnsi="Times New Roman" w:cs="Times New Roman"/>
          <w:b/>
          <w:bCs/>
          <w:iCs/>
          <w:lang w:val="en-US"/>
        </w:rPr>
      </w:pPr>
      <w:r w:rsidRPr="00936ADD">
        <w:rPr>
          <w:rFonts w:ascii="Times New Roman" w:hAnsi="Times New Roman" w:cs="Times New Roman"/>
          <w:b/>
          <w:bCs/>
          <w:iCs/>
          <w:lang w:val="en-US"/>
        </w:rPr>
        <w:t>3.2 Solid Oxide Fuel Cells</w:t>
      </w:r>
    </w:p>
    <w:p w:rsidR="001C7BFF" w:rsidRPr="008F23CC" w:rsidRDefault="001C7BFF" w:rsidP="001C7BFF">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Zirconia, stabilized with 8 – 9 % yttria (Yttria Stabilized Zirconia – YSZ)  is the most commonly used electrolyte for SOFCs because it exhibits predominant ionic conductivity (O</w:t>
      </w:r>
      <w:r w:rsidRPr="008F23CC">
        <w:rPr>
          <w:rFonts w:ascii="Times New Roman" w:hAnsi="Times New Roman" w:cs="Times New Roman"/>
          <w:sz w:val="20"/>
          <w:szCs w:val="20"/>
          <w:vertAlign w:val="superscript"/>
          <w:lang w:val="en-US"/>
        </w:rPr>
        <w:t xml:space="preserve">2- </w:t>
      </w:r>
      <w:r w:rsidRPr="008F23CC">
        <w:rPr>
          <w:rFonts w:ascii="Times New Roman" w:hAnsi="Times New Roman" w:cs="Times New Roman"/>
          <w:sz w:val="20"/>
          <w:szCs w:val="20"/>
          <w:lang w:val="en-US"/>
        </w:rPr>
        <w:t>transport number close to unity) over a wide range of oxygen partial pressures (1 to 10</w:t>
      </w:r>
      <w:r w:rsidRPr="008F23CC">
        <w:rPr>
          <w:rFonts w:ascii="Times New Roman" w:hAnsi="Times New Roman" w:cs="Times New Roman"/>
          <w:sz w:val="20"/>
          <w:szCs w:val="20"/>
          <w:vertAlign w:val="superscript"/>
          <w:lang w:val="en-US"/>
        </w:rPr>
        <w:t>-20</w:t>
      </w:r>
      <w:r w:rsidRPr="008F23CC">
        <w:rPr>
          <w:rFonts w:ascii="Times New Roman" w:hAnsi="Times New Roman" w:cs="Times New Roman"/>
          <w:sz w:val="20"/>
          <w:szCs w:val="20"/>
          <w:lang w:val="en-US"/>
        </w:rPr>
        <w:t xml:space="preserve"> atmospheres). YSZ provide</w:t>
      </w:r>
      <w:r w:rsidR="003C393B"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sufficient conductivity at very high temperatures (900 </w:t>
      </w:r>
      <w:r w:rsidR="00292CD1"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1000</w:t>
      </w:r>
      <w:r w:rsidR="00B9184E">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 and requires expensive high temperature alloys to house the fuel cell, increasing the cost substantially. These costs could be reduced if the operating temperature</w:t>
      </w:r>
      <w:r w:rsidR="003C393B"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w:t>
      </w:r>
      <w:r w:rsidR="003C393B" w:rsidRPr="008F23CC">
        <w:rPr>
          <w:rFonts w:ascii="Times New Roman" w:hAnsi="Times New Roman" w:cs="Times New Roman"/>
          <w:sz w:val="20"/>
          <w:szCs w:val="20"/>
          <w:lang w:val="en-US"/>
        </w:rPr>
        <w:t>were</w:t>
      </w:r>
      <w:r w:rsidRPr="008F23CC">
        <w:rPr>
          <w:rFonts w:ascii="Times New Roman" w:hAnsi="Times New Roman" w:cs="Times New Roman"/>
          <w:sz w:val="20"/>
          <w:szCs w:val="20"/>
          <w:lang w:val="en-US"/>
        </w:rPr>
        <w:t xml:space="preserve"> lowered to between 600 </w:t>
      </w:r>
      <w:r w:rsidR="003C393B"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800</w:t>
      </w:r>
      <w:r w:rsidR="003C393B"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°C, allowing the use of less expensive structural materials such as stainless steel. To lower the operating temperature, either the conductivity of the YSZ must be improved by producing thinner electrolytes, or alternative electrolytic materials must be developed. To reduce the resistivity of the electrolyte, development has focused on reducing electrolyte thickness from 150 </w:t>
      </w:r>
      <w:r w:rsidRPr="008F23CC">
        <w:rPr>
          <w:rFonts w:ascii="Times New Roman" w:hAnsi="Times New Roman" w:cs="Times New Roman"/>
          <w:sz w:val="20"/>
          <w:szCs w:val="20"/>
        </w:rPr>
        <w:t>μ</w:t>
      </w:r>
      <w:r w:rsidRPr="008F23CC">
        <w:rPr>
          <w:rFonts w:ascii="Times New Roman" w:hAnsi="Times New Roman" w:cs="Times New Roman"/>
          <w:sz w:val="20"/>
          <w:szCs w:val="20"/>
          <w:lang w:val="en-US"/>
        </w:rPr>
        <w:t xml:space="preserve">m to less than 20 </w:t>
      </w:r>
      <w:r w:rsidRPr="008F23CC">
        <w:rPr>
          <w:rFonts w:ascii="Times New Roman" w:hAnsi="Times New Roman" w:cs="Times New Roman"/>
          <w:sz w:val="20"/>
          <w:szCs w:val="20"/>
        </w:rPr>
        <w:t>μ</w:t>
      </w:r>
      <w:r w:rsidR="00D11295">
        <w:rPr>
          <w:rFonts w:ascii="Times New Roman" w:hAnsi="Times New Roman" w:cs="Times New Roman"/>
          <w:sz w:val="20"/>
          <w:szCs w:val="20"/>
          <w:lang w:val="en-US"/>
        </w:rPr>
        <w:t>m</w:t>
      </w:r>
      <w:r w:rsidR="003F40D0">
        <w:rPr>
          <w:rFonts w:ascii="Times New Roman" w:hAnsi="Times New Roman" w:cs="Times New Roman"/>
          <w:sz w:val="20"/>
          <w:szCs w:val="20"/>
          <w:lang w:val="en-US"/>
        </w:rPr>
        <w:t>. Wang, et al.</w:t>
      </w:r>
      <w:r w:rsidRPr="008F23CC">
        <w:rPr>
          <w:rFonts w:ascii="Times New Roman" w:hAnsi="Times New Roman" w:cs="Times New Roman"/>
          <w:sz w:val="20"/>
          <w:szCs w:val="20"/>
          <w:lang w:val="en-US"/>
        </w:rPr>
        <w:t xml:space="preserve"> fabricated thin-film YSZ electrolytes between 3 and 10 </w:t>
      </w:r>
      <w:r w:rsidRPr="008F23CC">
        <w:rPr>
          <w:rFonts w:ascii="Times New Roman" w:hAnsi="Times New Roman" w:cs="Times New Roman"/>
          <w:sz w:val="20"/>
          <w:szCs w:val="20"/>
        </w:rPr>
        <w:t>μ</w:t>
      </w:r>
      <w:r w:rsidRPr="008F23CC">
        <w:rPr>
          <w:rFonts w:ascii="Times New Roman" w:hAnsi="Times New Roman" w:cs="Times New Roman"/>
          <w:sz w:val="20"/>
          <w:szCs w:val="20"/>
          <w:lang w:val="en-US"/>
        </w:rPr>
        <w:t xml:space="preserve">m. </w:t>
      </w:r>
      <w:r w:rsidR="00B9184E">
        <w:rPr>
          <w:rFonts w:ascii="Times New Roman" w:hAnsi="Times New Roman" w:cs="Times New Roman"/>
          <w:sz w:val="20"/>
          <w:szCs w:val="20"/>
          <w:lang w:val="en-US"/>
        </w:rPr>
        <w:t>Furthermore, s</w:t>
      </w:r>
      <w:r w:rsidRPr="008F23CC">
        <w:rPr>
          <w:rFonts w:ascii="Times New Roman" w:hAnsi="Times New Roman" w:cs="Times New Roman"/>
          <w:sz w:val="20"/>
          <w:szCs w:val="20"/>
          <w:lang w:val="en-US"/>
        </w:rPr>
        <w:t>candium doped zirconia (SDZ) is more conductive than YSZ, permitting the reduction of the operating temperature by 50</w:t>
      </w:r>
      <w:r w:rsidR="003C393B" w:rsidRPr="008F23CC">
        <w:rPr>
          <w:rFonts w:ascii="Times New Roman" w:hAnsi="Times New Roman" w:cs="Times New Roman"/>
          <w:sz w:val="20"/>
          <w:szCs w:val="20"/>
          <w:lang w:val="en-US"/>
        </w:rPr>
        <w:t xml:space="preserve"> – </w:t>
      </w:r>
      <w:r w:rsidRPr="008F23CC">
        <w:rPr>
          <w:rFonts w:ascii="Times New Roman" w:hAnsi="Times New Roman" w:cs="Times New Roman"/>
          <w:sz w:val="20"/>
          <w:szCs w:val="20"/>
          <w:lang w:val="en-US"/>
        </w:rPr>
        <w:t>100</w:t>
      </w:r>
      <w:r w:rsidR="003C393B" w:rsidRPr="008F23CC">
        <w:rPr>
          <w:rFonts w:ascii="Times New Roman" w:hAnsi="Times New Roman" w:cs="Times New Roman"/>
          <w:sz w:val="20"/>
          <w:szCs w:val="20"/>
          <w:lang w:val="en-US"/>
        </w:rPr>
        <w:t xml:space="preserve"> </w:t>
      </w:r>
      <w:r w:rsidR="00B9184E">
        <w:rPr>
          <w:rFonts w:ascii="Times New Roman" w:hAnsi="Times New Roman" w:cs="Times New Roman"/>
          <w:sz w:val="20"/>
          <w:szCs w:val="20"/>
          <w:lang w:val="en-US"/>
        </w:rPr>
        <w:t>°C, while</w:t>
      </w:r>
      <w:r w:rsidRPr="008F23CC">
        <w:rPr>
          <w:rFonts w:ascii="Times New Roman" w:hAnsi="Times New Roman" w:cs="Times New Roman"/>
          <w:sz w:val="20"/>
          <w:szCs w:val="20"/>
          <w:lang w:val="en-US"/>
        </w:rPr>
        <w:t xml:space="preserve"> </w:t>
      </w:r>
      <w:r w:rsidR="00B9184E">
        <w:rPr>
          <w:rFonts w:ascii="Times New Roman" w:hAnsi="Times New Roman" w:cs="Times New Roman"/>
          <w:sz w:val="20"/>
          <w:szCs w:val="20"/>
          <w:lang w:val="en-US"/>
        </w:rPr>
        <w:t>g</w:t>
      </w:r>
      <w:r w:rsidRPr="008F23CC">
        <w:rPr>
          <w:rFonts w:ascii="Times New Roman" w:hAnsi="Times New Roman" w:cs="Times New Roman"/>
          <w:sz w:val="20"/>
          <w:szCs w:val="20"/>
          <w:lang w:val="en-US"/>
        </w:rPr>
        <w:t>adolinium doped ceria (GDC) is even more conductive, but above 600°C it is partially reduced in hydrogen</w:t>
      </w:r>
      <w:r w:rsidR="003C393B"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and </w:t>
      </w:r>
      <w:r w:rsidR="00B9184E">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develop</w:t>
      </w:r>
      <w:r w:rsidR="00B9184E">
        <w:rPr>
          <w:rFonts w:ascii="Times New Roman" w:hAnsi="Times New Roman" w:cs="Times New Roman"/>
          <w:sz w:val="20"/>
          <w:szCs w:val="20"/>
          <w:lang w:val="en-US"/>
        </w:rPr>
        <w:t>ed</w:t>
      </w:r>
      <w:r w:rsidRPr="008F23CC">
        <w:rPr>
          <w:rFonts w:ascii="Times New Roman" w:hAnsi="Times New Roman" w:cs="Times New Roman"/>
          <w:sz w:val="20"/>
          <w:szCs w:val="20"/>
          <w:lang w:val="en-US"/>
        </w:rPr>
        <w:t xml:space="preserve"> electronic conductivity short-circuit</w:t>
      </w:r>
      <w:r w:rsidR="00292CD1"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the cell. Lanthanum gallate with strontium doping on the A-site of the perovskite </w:t>
      </w:r>
      <w:r w:rsidR="003C393B" w:rsidRPr="008F23CC">
        <w:rPr>
          <w:rFonts w:ascii="Times New Roman" w:hAnsi="Times New Roman" w:cs="Times New Roman"/>
          <w:sz w:val="20"/>
          <w:szCs w:val="20"/>
          <w:lang w:val="en-US"/>
        </w:rPr>
        <w:t xml:space="preserve">structure </w:t>
      </w:r>
      <w:r w:rsidRPr="008F23CC">
        <w:rPr>
          <w:rFonts w:ascii="Times New Roman" w:hAnsi="Times New Roman" w:cs="Times New Roman"/>
          <w:sz w:val="20"/>
          <w:szCs w:val="20"/>
          <w:lang w:val="en-US"/>
        </w:rPr>
        <w:t>and magnesium on the B-site could be used at temperatures as low as 600</w:t>
      </w:r>
      <w:r w:rsidR="003C393B"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°C, but matching the thermal expansion coefficients, mechanical strength, and chemical compatibility need further development </w:t>
      </w:r>
      <w:r w:rsidR="003F40D0">
        <w:rPr>
          <w:rFonts w:ascii="Times New Roman" w:hAnsi="Times New Roman" w:cs="Times New Roman"/>
          <w:sz w:val="20"/>
          <w:szCs w:val="20"/>
          <w:lang w:val="en-US"/>
        </w:rPr>
        <w:t>[1,20]</w:t>
      </w:r>
      <w:r w:rsidRPr="008F23CC">
        <w:rPr>
          <w:rFonts w:ascii="Times New Roman" w:hAnsi="Times New Roman" w:cs="Times New Roman"/>
          <w:sz w:val="20"/>
          <w:szCs w:val="20"/>
          <w:lang w:val="en-US"/>
        </w:rPr>
        <w:t xml:space="preserve">. </w:t>
      </w:r>
    </w:p>
    <w:p w:rsidR="001C7BFF" w:rsidRPr="008F23CC" w:rsidRDefault="001C7BFF"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SOFC anodes are fabricated from composite powdered mixtures of </w:t>
      </w:r>
      <w:r w:rsidR="005E3708" w:rsidRPr="008F23CC">
        <w:rPr>
          <w:rFonts w:ascii="Times New Roman" w:hAnsi="Times New Roman" w:cs="Times New Roman"/>
          <w:sz w:val="20"/>
          <w:szCs w:val="20"/>
          <w:lang w:val="en-US"/>
        </w:rPr>
        <w:t xml:space="preserve">ceramic </w:t>
      </w:r>
      <w:r w:rsidRPr="008F23CC">
        <w:rPr>
          <w:rFonts w:ascii="Times New Roman" w:hAnsi="Times New Roman" w:cs="Times New Roman"/>
          <w:sz w:val="20"/>
          <w:szCs w:val="20"/>
          <w:lang w:val="en-US"/>
        </w:rPr>
        <w:t xml:space="preserve">electrolyte materials </w:t>
      </w:r>
      <w:r w:rsidR="005E3708"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YSZ,GDC, or SDC</w:t>
      </w:r>
      <w:r w:rsidR="005E3708" w:rsidRPr="008F23CC">
        <w:rPr>
          <w:rFonts w:ascii="Times New Roman" w:hAnsi="Times New Roman" w:cs="Times New Roman"/>
          <w:sz w:val="20"/>
          <w:szCs w:val="20"/>
          <w:lang w:val="en-US"/>
        </w:rPr>
        <w:t xml:space="preserve"> – </w:t>
      </w:r>
      <w:r w:rsidRPr="008F23CC">
        <w:rPr>
          <w:rFonts w:ascii="Times New Roman" w:hAnsi="Times New Roman" w:cs="Times New Roman"/>
          <w:sz w:val="20"/>
          <w:szCs w:val="20"/>
          <w:lang w:val="en-US"/>
        </w:rPr>
        <w:t>and</w:t>
      </w:r>
      <w:r w:rsidR="005E3708"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nickel oxide</w:t>
      </w:r>
      <w:r w:rsidR="005E3708" w:rsidRPr="008F23CC">
        <w:rPr>
          <w:rFonts w:ascii="Times New Roman" w:hAnsi="Times New Roman" w:cs="Times New Roman"/>
          <w:sz w:val="20"/>
          <w:szCs w:val="20"/>
          <w:lang w:val="en-US"/>
        </w:rPr>
        <w:t xml:space="preserve"> (cermets)</w:t>
      </w:r>
      <w:r w:rsidRPr="008F23CC">
        <w:rPr>
          <w:rFonts w:ascii="Times New Roman" w:hAnsi="Times New Roman" w:cs="Times New Roman"/>
          <w:sz w:val="20"/>
          <w:szCs w:val="20"/>
          <w:lang w:val="en-US"/>
        </w:rPr>
        <w:t xml:space="preserve">. </w:t>
      </w:r>
      <w:r w:rsidR="00292CD1" w:rsidRPr="008F23CC">
        <w:rPr>
          <w:rFonts w:ascii="Times New Roman" w:hAnsi="Times New Roman" w:cs="Times New Roman"/>
          <w:sz w:val="20"/>
          <w:szCs w:val="20"/>
          <w:lang w:val="en-US"/>
        </w:rPr>
        <w:t>The nickel oxide is reduced to nickel metal prior to operation.</w:t>
      </w:r>
      <w:r w:rsidR="003C393B"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electrolyte skeleton inhibits sintering of the </w:t>
      </w:r>
      <w:r w:rsidR="00292CD1" w:rsidRPr="008F23CC">
        <w:rPr>
          <w:rFonts w:ascii="Times New Roman" w:hAnsi="Times New Roman" w:cs="Times New Roman"/>
          <w:sz w:val="20"/>
          <w:szCs w:val="20"/>
          <w:lang w:val="en-US"/>
        </w:rPr>
        <w:t>metal particles and provide</w:t>
      </w:r>
      <w:r w:rsidR="003C393B"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comparable </w:t>
      </w:r>
      <w:r w:rsidR="003C393B" w:rsidRPr="008F23CC">
        <w:rPr>
          <w:rFonts w:ascii="Times New Roman" w:hAnsi="Times New Roman" w:cs="Times New Roman"/>
          <w:sz w:val="20"/>
          <w:szCs w:val="20"/>
          <w:lang w:val="en-US"/>
        </w:rPr>
        <w:t xml:space="preserve">to YSZ </w:t>
      </w:r>
      <w:r w:rsidRPr="008F23CC">
        <w:rPr>
          <w:rFonts w:ascii="Times New Roman" w:hAnsi="Times New Roman" w:cs="Times New Roman"/>
          <w:sz w:val="20"/>
          <w:szCs w:val="20"/>
          <w:lang w:val="en-US"/>
        </w:rPr>
        <w:t xml:space="preserve">thermal expansion coefficient. </w:t>
      </w:r>
      <w:r w:rsidR="003C393B" w:rsidRPr="008F23CC">
        <w:rPr>
          <w:rFonts w:ascii="Times New Roman" w:hAnsi="Times New Roman" w:cs="Times New Roman"/>
          <w:sz w:val="20"/>
          <w:szCs w:val="20"/>
          <w:lang w:val="en-US"/>
        </w:rPr>
        <w:t xml:space="preserve">Typical anode materials have nickel contents of approximately 40 % volume, after </w:t>
      </w:r>
      <w:r w:rsidR="005E3708" w:rsidRPr="008F23CC">
        <w:rPr>
          <w:rFonts w:ascii="Times New Roman" w:hAnsi="Times New Roman" w:cs="Times New Roman"/>
          <w:sz w:val="20"/>
          <w:szCs w:val="20"/>
          <w:lang w:val="en-US"/>
        </w:rPr>
        <w:t xml:space="preserve">nickel </w:t>
      </w:r>
      <w:r w:rsidR="003C393B" w:rsidRPr="008F23CC">
        <w:rPr>
          <w:rFonts w:ascii="Times New Roman" w:hAnsi="Times New Roman" w:cs="Times New Roman"/>
          <w:sz w:val="20"/>
          <w:szCs w:val="20"/>
          <w:lang w:val="en-US"/>
        </w:rPr>
        <w:t xml:space="preserve">reduction. </w:t>
      </w:r>
      <w:r w:rsidRPr="008F23CC">
        <w:rPr>
          <w:rFonts w:ascii="Times New Roman" w:hAnsi="Times New Roman" w:cs="Times New Roman"/>
          <w:sz w:val="20"/>
          <w:szCs w:val="20"/>
          <w:lang w:val="en-US"/>
        </w:rPr>
        <w:t xml:space="preserve">The anode structure is fabricated with a porosity of 20 </w:t>
      </w:r>
      <w:r w:rsidR="00292CD1"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40% to facilitate mass transpor</w:t>
      </w:r>
      <w:r w:rsidR="005E3708" w:rsidRPr="008F23CC">
        <w:rPr>
          <w:rFonts w:ascii="Times New Roman" w:hAnsi="Times New Roman" w:cs="Times New Roman"/>
          <w:sz w:val="20"/>
          <w:szCs w:val="20"/>
          <w:lang w:val="en-US"/>
        </w:rPr>
        <w:t>t of reactant and product gases, and 5 – 20 m</w:t>
      </w:r>
      <w:r w:rsidR="005E3708" w:rsidRPr="008F23CC">
        <w:rPr>
          <w:rFonts w:ascii="Times New Roman" w:hAnsi="Times New Roman" w:cs="Times New Roman"/>
          <w:sz w:val="20"/>
          <w:szCs w:val="20"/>
          <w:vertAlign w:val="superscript"/>
          <w:lang w:val="en-US"/>
        </w:rPr>
        <w:t>2</w:t>
      </w:r>
      <w:r w:rsidR="005E3708" w:rsidRPr="008F23CC">
        <w:rPr>
          <w:rFonts w:ascii="Times New Roman" w:hAnsi="Times New Roman" w:cs="Times New Roman"/>
          <w:sz w:val="20"/>
          <w:szCs w:val="20"/>
          <w:lang w:val="en-US"/>
        </w:rPr>
        <w:t xml:space="preserve">/g </w:t>
      </w:r>
      <w:r w:rsidRPr="008F23CC">
        <w:rPr>
          <w:rFonts w:ascii="Times New Roman" w:hAnsi="Times New Roman" w:cs="Times New Roman"/>
          <w:sz w:val="20"/>
          <w:szCs w:val="20"/>
          <w:lang w:val="en-US"/>
        </w:rPr>
        <w:t xml:space="preserve">surface areas. </w:t>
      </w:r>
      <w:r w:rsidR="000E4A8A" w:rsidRPr="008F23CC">
        <w:rPr>
          <w:rFonts w:ascii="Times New Roman" w:hAnsi="Times New Roman" w:cs="Times New Roman"/>
          <w:sz w:val="20"/>
          <w:szCs w:val="20"/>
          <w:lang w:val="en-US"/>
        </w:rPr>
        <w:t>Concerning</w:t>
      </w:r>
      <w:r w:rsidRPr="008F23CC">
        <w:rPr>
          <w:rFonts w:ascii="Times New Roman" w:hAnsi="Times New Roman" w:cs="Times New Roman"/>
          <w:sz w:val="20"/>
          <w:szCs w:val="20"/>
          <w:lang w:val="en-US"/>
        </w:rPr>
        <w:t xml:space="preserve"> cathode, lanthanum strontium manganite (LSM) </w:t>
      </w:r>
      <w:r w:rsidR="00B17539" w:rsidRPr="008F23CC">
        <w:rPr>
          <w:rFonts w:ascii="Times New Roman" w:hAnsi="Times New Roman" w:cs="Times New Roman"/>
          <w:sz w:val="20"/>
          <w:szCs w:val="20"/>
          <w:lang w:val="en-US"/>
        </w:rPr>
        <w:t xml:space="preserve">perovskite </w:t>
      </w:r>
      <w:r w:rsidRPr="008F23CC">
        <w:rPr>
          <w:rFonts w:ascii="Times New Roman" w:hAnsi="Times New Roman" w:cs="Times New Roman"/>
          <w:sz w:val="20"/>
          <w:szCs w:val="20"/>
          <w:lang w:val="en-US"/>
        </w:rPr>
        <w:t>is the most frequently used material, offering excellent thermal expansion match with YSZ and provid</w:t>
      </w:r>
      <w:r w:rsidR="00B17539" w:rsidRPr="008F23CC">
        <w:rPr>
          <w:rFonts w:ascii="Times New Roman" w:hAnsi="Times New Roman" w:cs="Times New Roman"/>
          <w:sz w:val="20"/>
          <w:szCs w:val="20"/>
          <w:lang w:val="en-US"/>
        </w:rPr>
        <w:t>ing</w:t>
      </w:r>
      <w:r w:rsidRPr="008F23CC">
        <w:rPr>
          <w:rFonts w:ascii="Times New Roman" w:hAnsi="Times New Roman" w:cs="Times New Roman"/>
          <w:sz w:val="20"/>
          <w:szCs w:val="20"/>
          <w:lang w:val="en-US"/>
        </w:rPr>
        <w:t xml:space="preserve"> good performance above 800°C. For lower temperature</w:t>
      </w:r>
      <w:r w:rsidR="00292CD1"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a range of alternative perovskite</w:t>
      </w:r>
      <w:r w:rsidR="00B17539"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are availabl</w:t>
      </w:r>
      <w:r w:rsidR="000E4A8A" w:rsidRPr="008F23CC">
        <w:rPr>
          <w:rFonts w:ascii="Times New Roman" w:hAnsi="Times New Roman" w:cs="Times New Roman"/>
          <w:sz w:val="20"/>
          <w:szCs w:val="20"/>
          <w:lang w:val="en-US"/>
        </w:rPr>
        <w:t xml:space="preserve">e (lanthanum strontium ferrite – </w:t>
      </w:r>
      <w:r w:rsidRPr="008F23CC">
        <w:rPr>
          <w:rFonts w:ascii="Times New Roman" w:hAnsi="Times New Roman" w:cs="Times New Roman"/>
          <w:sz w:val="20"/>
          <w:szCs w:val="20"/>
          <w:lang w:val="en-US"/>
        </w:rPr>
        <w:t>LSF, lant</w:t>
      </w:r>
      <w:r w:rsidR="000E4A8A" w:rsidRPr="008F23CC">
        <w:rPr>
          <w:rFonts w:ascii="Times New Roman" w:hAnsi="Times New Roman" w:cs="Times New Roman"/>
          <w:sz w:val="20"/>
          <w:szCs w:val="20"/>
          <w:lang w:val="en-US"/>
        </w:rPr>
        <w:t>hanum strontium cobalt ferrite –</w:t>
      </w:r>
      <w:r w:rsidRPr="008F23CC">
        <w:rPr>
          <w:rFonts w:ascii="Times New Roman" w:hAnsi="Times New Roman" w:cs="Times New Roman"/>
          <w:sz w:val="20"/>
          <w:szCs w:val="20"/>
          <w:lang w:val="en-US"/>
        </w:rPr>
        <w:t>LSCF, lanthan</w:t>
      </w:r>
      <w:r w:rsidR="000E4A8A" w:rsidRPr="008F23CC">
        <w:rPr>
          <w:rFonts w:ascii="Times New Roman" w:hAnsi="Times New Roman" w:cs="Times New Roman"/>
          <w:sz w:val="20"/>
          <w:szCs w:val="20"/>
          <w:lang w:val="en-US"/>
        </w:rPr>
        <w:t xml:space="preserve">um strontium manganese ferrite – </w:t>
      </w:r>
      <w:r w:rsidRPr="008F23CC">
        <w:rPr>
          <w:rFonts w:ascii="Times New Roman" w:hAnsi="Times New Roman" w:cs="Times New Roman"/>
          <w:sz w:val="20"/>
          <w:szCs w:val="20"/>
          <w:lang w:val="en-US"/>
        </w:rPr>
        <w:t>LSMF</w:t>
      </w:r>
      <w:r w:rsidR="000E4A8A" w:rsidRPr="008F23CC">
        <w:rPr>
          <w:rFonts w:ascii="Times New Roman" w:hAnsi="Times New Roman" w:cs="Times New Roman"/>
          <w:sz w:val="20"/>
          <w:szCs w:val="20"/>
          <w:lang w:val="en-US"/>
        </w:rPr>
        <w:t xml:space="preserve"> and others</w:t>
      </w:r>
      <w:r w:rsidRPr="008F23CC">
        <w:rPr>
          <w:rFonts w:ascii="Times New Roman" w:hAnsi="Times New Roman" w:cs="Times New Roman"/>
          <w:sz w:val="20"/>
          <w:szCs w:val="20"/>
          <w:lang w:val="en-US"/>
        </w:rPr>
        <w:t xml:space="preserve">). Improved performance of the cathode can be obtained by blending </w:t>
      </w:r>
      <w:r w:rsidR="00B17539" w:rsidRPr="008F23CC">
        <w:rPr>
          <w:rFonts w:ascii="Times New Roman" w:hAnsi="Times New Roman" w:cs="Times New Roman"/>
          <w:sz w:val="20"/>
          <w:szCs w:val="20"/>
          <w:lang w:val="en-US"/>
        </w:rPr>
        <w:t xml:space="preserve">it with </w:t>
      </w:r>
      <w:r w:rsidRPr="008F23CC">
        <w:rPr>
          <w:rFonts w:ascii="Times New Roman" w:hAnsi="Times New Roman" w:cs="Times New Roman"/>
          <w:sz w:val="20"/>
          <w:szCs w:val="20"/>
          <w:lang w:val="en-US"/>
        </w:rPr>
        <w:t>electrolyte material</w:t>
      </w:r>
      <w:r w:rsidR="00292CD1"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typically </w:t>
      </w:r>
      <w:r w:rsidR="00292CD1" w:rsidRPr="008F23CC">
        <w:rPr>
          <w:rFonts w:ascii="Times New Roman" w:hAnsi="Times New Roman" w:cs="Times New Roman"/>
          <w:sz w:val="20"/>
          <w:szCs w:val="20"/>
          <w:lang w:val="en-US"/>
        </w:rPr>
        <w:t xml:space="preserve">at </w:t>
      </w:r>
      <w:r w:rsidRPr="008F23CC">
        <w:rPr>
          <w:rFonts w:ascii="Times New Roman" w:hAnsi="Times New Roman" w:cs="Times New Roman"/>
          <w:sz w:val="20"/>
          <w:szCs w:val="20"/>
          <w:lang w:val="en-US"/>
        </w:rPr>
        <w:t xml:space="preserve">40 </w:t>
      </w:r>
      <w:r w:rsidR="00292CD1"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volume.</w:t>
      </w:r>
    </w:p>
    <w:p w:rsidR="001C7BFF" w:rsidRPr="008F23CC" w:rsidRDefault="001C7BFF" w:rsidP="008B7354">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Interconnects </w:t>
      </w:r>
      <w:r w:rsidR="008771D4" w:rsidRPr="008F23CC">
        <w:rPr>
          <w:rFonts w:ascii="Times New Roman" w:hAnsi="Times New Roman" w:cs="Times New Roman"/>
          <w:sz w:val="20"/>
          <w:szCs w:val="20"/>
          <w:lang w:val="en-US"/>
        </w:rPr>
        <w:t xml:space="preserve">(usually doped lanthanum chromite), </w:t>
      </w:r>
      <w:r w:rsidRPr="008F23CC">
        <w:rPr>
          <w:rFonts w:ascii="Times New Roman" w:hAnsi="Times New Roman" w:cs="Times New Roman"/>
          <w:sz w:val="20"/>
          <w:szCs w:val="20"/>
          <w:lang w:val="en-US"/>
        </w:rPr>
        <w:t>must be chemically</w:t>
      </w:r>
      <w:r w:rsidR="000E4A8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and dimensionally stable in both oxidizing and reducing conditions. They must have similar</w:t>
      </w:r>
      <w:r w:rsidR="004D6FEC"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r w:rsidR="004D6FEC" w:rsidRPr="008F23CC">
        <w:rPr>
          <w:rFonts w:ascii="Times New Roman" w:hAnsi="Times New Roman" w:cs="Times New Roman"/>
          <w:sz w:val="20"/>
          <w:szCs w:val="20"/>
          <w:lang w:val="en-US"/>
        </w:rPr>
        <w:t xml:space="preserve">to the rest of components, </w:t>
      </w:r>
      <w:r w:rsidRPr="008F23CC">
        <w:rPr>
          <w:rFonts w:ascii="Times New Roman" w:hAnsi="Times New Roman" w:cs="Times New Roman"/>
          <w:sz w:val="20"/>
          <w:szCs w:val="20"/>
          <w:lang w:val="en-US"/>
        </w:rPr>
        <w:t xml:space="preserve">thermal expansion </w:t>
      </w:r>
      <w:r w:rsidR="004D6FEC" w:rsidRPr="008F23CC">
        <w:rPr>
          <w:rFonts w:ascii="Times New Roman" w:hAnsi="Times New Roman" w:cs="Times New Roman"/>
          <w:sz w:val="20"/>
          <w:szCs w:val="20"/>
          <w:lang w:val="en-US"/>
        </w:rPr>
        <w:t>coefficients</w:t>
      </w:r>
      <w:r w:rsidRPr="008F23CC">
        <w:rPr>
          <w:rFonts w:ascii="Times New Roman" w:hAnsi="Times New Roman" w:cs="Times New Roman"/>
          <w:sz w:val="20"/>
          <w:szCs w:val="20"/>
          <w:lang w:val="en-US"/>
        </w:rPr>
        <w:t xml:space="preserve">. One of the most significant changes resulting from operation </w:t>
      </w:r>
      <w:r w:rsidR="00B17539" w:rsidRPr="008F23CC">
        <w:rPr>
          <w:rFonts w:ascii="Times New Roman" w:hAnsi="Times New Roman" w:cs="Times New Roman"/>
          <w:sz w:val="20"/>
          <w:szCs w:val="20"/>
          <w:lang w:val="en-US"/>
        </w:rPr>
        <w:t>below</w:t>
      </w:r>
      <w:r w:rsidRPr="008F23CC">
        <w:rPr>
          <w:rFonts w:ascii="Times New Roman" w:hAnsi="Times New Roman" w:cs="Times New Roman"/>
          <w:sz w:val="20"/>
          <w:szCs w:val="20"/>
          <w:lang w:val="en-US"/>
        </w:rPr>
        <w:t xml:space="preserve"> 800°C is the </w:t>
      </w:r>
      <w:r w:rsidR="000E4A8A" w:rsidRPr="008F23CC">
        <w:rPr>
          <w:rFonts w:ascii="Times New Roman" w:hAnsi="Times New Roman" w:cs="Times New Roman"/>
          <w:sz w:val="20"/>
          <w:szCs w:val="20"/>
          <w:lang w:val="en-US"/>
        </w:rPr>
        <w:t>shift</w:t>
      </w:r>
      <w:r w:rsidRPr="008F23CC">
        <w:rPr>
          <w:rFonts w:ascii="Times New Roman" w:hAnsi="Times New Roman" w:cs="Times New Roman"/>
          <w:sz w:val="20"/>
          <w:szCs w:val="20"/>
          <w:lang w:val="en-US"/>
        </w:rPr>
        <w:t xml:space="preserve"> from ceramic to metallic interconnects</w:t>
      </w:r>
      <w:r w:rsidR="00B17539" w:rsidRPr="008F23CC">
        <w:rPr>
          <w:rFonts w:ascii="Times New Roman" w:hAnsi="Times New Roman" w:cs="Times New Roman"/>
          <w:sz w:val="20"/>
          <w:szCs w:val="20"/>
          <w:lang w:val="en-US"/>
        </w:rPr>
        <w:t xml:space="preserve">, which will </w:t>
      </w:r>
      <w:r w:rsidRPr="008F23CC">
        <w:rPr>
          <w:rFonts w:ascii="Times New Roman" w:hAnsi="Times New Roman" w:cs="Times New Roman"/>
          <w:sz w:val="20"/>
          <w:szCs w:val="20"/>
          <w:lang w:val="en-US"/>
        </w:rPr>
        <w:t xml:space="preserve"> </w:t>
      </w:r>
      <w:r w:rsidR="00B17539" w:rsidRPr="008F23CC">
        <w:rPr>
          <w:rFonts w:ascii="Times New Roman" w:hAnsi="Times New Roman" w:cs="Times New Roman"/>
          <w:sz w:val="20"/>
          <w:szCs w:val="20"/>
          <w:lang w:val="en-US"/>
        </w:rPr>
        <w:t>reduce the cost of the stack</w:t>
      </w:r>
      <w:r w:rsidRPr="008F23CC">
        <w:rPr>
          <w:rFonts w:ascii="Times New Roman" w:hAnsi="Times New Roman" w:cs="Times New Roman"/>
          <w:sz w:val="20"/>
          <w:szCs w:val="20"/>
          <w:lang w:val="en-US"/>
        </w:rPr>
        <w:t xml:space="preserve">. </w:t>
      </w:r>
      <w:r w:rsidR="004D6FEC" w:rsidRPr="008F23CC">
        <w:rPr>
          <w:rFonts w:ascii="Times New Roman" w:hAnsi="Times New Roman" w:cs="Times New Roman"/>
          <w:sz w:val="20"/>
          <w:szCs w:val="20"/>
          <w:lang w:val="en-US"/>
        </w:rPr>
        <w:t>T</w:t>
      </w:r>
      <w:r w:rsidR="000F1405" w:rsidRPr="008F23CC">
        <w:rPr>
          <w:rFonts w:ascii="Times New Roman" w:hAnsi="Times New Roman" w:cs="Times New Roman"/>
          <w:sz w:val="20"/>
          <w:szCs w:val="20"/>
          <w:lang w:val="en-US"/>
        </w:rPr>
        <w:t xml:space="preserve">he </w:t>
      </w:r>
      <w:r w:rsidR="004D6FEC" w:rsidRPr="008F23CC">
        <w:rPr>
          <w:rFonts w:ascii="Times New Roman" w:hAnsi="Times New Roman" w:cs="Times New Roman"/>
          <w:sz w:val="20"/>
          <w:szCs w:val="20"/>
          <w:lang w:val="en-US"/>
        </w:rPr>
        <w:t>seal of the cell must also have similar thermal expansion coefficient, along with c</w:t>
      </w:r>
      <w:r w:rsidRPr="008F23CC">
        <w:rPr>
          <w:rFonts w:ascii="Times New Roman" w:hAnsi="Times New Roman" w:cs="Times New Roman"/>
          <w:sz w:val="20"/>
          <w:szCs w:val="20"/>
          <w:lang w:val="en-US"/>
        </w:rPr>
        <w:t xml:space="preserve">hemical compatibility with the </w:t>
      </w:r>
      <w:r w:rsidR="000E4A8A" w:rsidRPr="008F23CC">
        <w:rPr>
          <w:rFonts w:ascii="Times New Roman" w:hAnsi="Times New Roman" w:cs="Times New Roman"/>
          <w:sz w:val="20"/>
          <w:szCs w:val="20"/>
          <w:lang w:val="en-US"/>
        </w:rPr>
        <w:t xml:space="preserve">rest of the </w:t>
      </w:r>
      <w:r w:rsidRPr="008F23CC">
        <w:rPr>
          <w:rFonts w:ascii="Times New Roman" w:hAnsi="Times New Roman" w:cs="Times New Roman"/>
          <w:sz w:val="20"/>
          <w:szCs w:val="20"/>
          <w:lang w:val="en-US"/>
        </w:rPr>
        <w:t xml:space="preserve">stack components and </w:t>
      </w:r>
      <w:r w:rsidR="004D6FEC"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gaseous constituents of the highly oxidizing and reducing environments</w:t>
      </w:r>
      <w:r w:rsidR="00B9184E">
        <w:rPr>
          <w:rFonts w:ascii="Times New Roman" w:hAnsi="Times New Roman" w:cs="Times New Roman"/>
          <w:sz w:val="20"/>
          <w:szCs w:val="20"/>
          <w:lang w:val="en-US"/>
        </w:rPr>
        <w:t xml:space="preserve"> of the cathode and the anode respectivelly</w:t>
      </w:r>
      <w:r w:rsidRPr="008F23CC">
        <w:rPr>
          <w:rFonts w:ascii="Times New Roman" w:hAnsi="Times New Roman" w:cs="Times New Roman"/>
          <w:sz w:val="20"/>
          <w:szCs w:val="20"/>
          <w:lang w:val="en-US"/>
        </w:rPr>
        <w:t xml:space="preserve">. In addition, the seal should be electrically insulating to prevent shorting within the stack. </w:t>
      </w:r>
      <w:r w:rsidR="009977F1" w:rsidRPr="008F23CC">
        <w:rPr>
          <w:rFonts w:ascii="Times New Roman" w:hAnsi="Times New Roman" w:cs="Times New Roman"/>
          <w:sz w:val="20"/>
          <w:szCs w:val="20"/>
          <w:lang w:val="en-US"/>
        </w:rPr>
        <w:t>A possible alternative to glass is the use of compressive, non-bond</w:t>
      </w:r>
      <w:r w:rsidR="003F40D0">
        <w:rPr>
          <w:rFonts w:ascii="Times New Roman" w:hAnsi="Times New Roman" w:cs="Times New Roman"/>
          <w:sz w:val="20"/>
          <w:szCs w:val="20"/>
          <w:lang w:val="en-US"/>
        </w:rPr>
        <w:t>ing seals, and the use of micas</w:t>
      </w:r>
      <w:r w:rsidR="009977F1" w:rsidRPr="008F23CC">
        <w:rPr>
          <w:rFonts w:ascii="Times New Roman" w:hAnsi="Times New Roman" w:cs="Times New Roman"/>
          <w:sz w:val="20"/>
          <w:szCs w:val="20"/>
          <w:lang w:val="en-US"/>
        </w:rPr>
        <w:t xml:space="preserve">, or of silicate platelets </w:t>
      </w:r>
      <w:r w:rsidR="003F40D0">
        <w:rPr>
          <w:rFonts w:ascii="Times New Roman" w:hAnsi="Times New Roman" w:cs="Times New Roman"/>
          <w:sz w:val="20"/>
          <w:szCs w:val="20"/>
          <w:lang w:val="en-US"/>
        </w:rPr>
        <w:t>[1,21,22]</w:t>
      </w:r>
      <w:r w:rsidR="009977F1" w:rsidRPr="008F23CC">
        <w:rPr>
          <w:rFonts w:ascii="Times New Roman" w:hAnsi="Times New Roman" w:cs="Times New Roman"/>
          <w:sz w:val="20"/>
          <w:szCs w:val="20"/>
          <w:lang w:val="en-US"/>
        </w:rPr>
        <w:t>.</w:t>
      </w:r>
    </w:p>
    <w:p w:rsidR="001C7BFF" w:rsidRPr="008F23CC" w:rsidRDefault="009977F1"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Planar </w:t>
      </w:r>
      <w:r w:rsidR="001C7BFF" w:rsidRPr="008F23CC">
        <w:rPr>
          <w:rFonts w:ascii="Times New Roman" w:hAnsi="Times New Roman" w:cs="Times New Roman"/>
          <w:sz w:val="20"/>
          <w:szCs w:val="20"/>
          <w:lang w:val="en-US"/>
        </w:rPr>
        <w:t>SOFC</w:t>
      </w:r>
      <w:r w:rsidR="00B17539"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w:t>
      </w:r>
      <w:r w:rsidR="00B17539" w:rsidRPr="008F23CC">
        <w:rPr>
          <w:rFonts w:ascii="Times New Roman" w:hAnsi="Times New Roman" w:cs="Times New Roman"/>
          <w:sz w:val="20"/>
          <w:szCs w:val="20"/>
          <w:lang w:val="en-US"/>
        </w:rPr>
        <w:t>are</w:t>
      </w:r>
      <w:r w:rsidR="001C7BFF" w:rsidRPr="008F23CC">
        <w:rPr>
          <w:rFonts w:ascii="Times New Roman" w:hAnsi="Times New Roman" w:cs="Times New Roman"/>
          <w:sz w:val="20"/>
          <w:szCs w:val="20"/>
          <w:lang w:val="en-US"/>
        </w:rPr>
        <w:t xml:space="preserve"> composed of flat, ultra thin ceramic plates, which allow them to</w:t>
      </w:r>
      <w:r w:rsidR="00B17539" w:rsidRPr="008F23CC">
        <w:rPr>
          <w:rFonts w:ascii="Times New Roman" w:hAnsi="Times New Roman" w:cs="Times New Roman"/>
          <w:sz w:val="20"/>
          <w:szCs w:val="20"/>
          <w:lang w:val="en-US"/>
        </w:rPr>
        <w:t xml:space="preserve"> operate at 800°C or even less, and enable</w:t>
      </w:r>
      <w:r w:rsidR="001C7BFF" w:rsidRPr="008F23CC">
        <w:rPr>
          <w:rFonts w:ascii="Times New Roman" w:hAnsi="Times New Roman" w:cs="Times New Roman"/>
          <w:sz w:val="20"/>
          <w:szCs w:val="20"/>
          <w:lang w:val="en-US"/>
        </w:rPr>
        <w:t xml:space="preserve"> less exotic </w:t>
      </w:r>
      <w:r w:rsidR="00B17539" w:rsidRPr="008F23CC">
        <w:rPr>
          <w:rFonts w:ascii="Times New Roman" w:hAnsi="Times New Roman" w:cs="Times New Roman"/>
          <w:sz w:val="20"/>
          <w:szCs w:val="20"/>
          <w:lang w:val="en-US"/>
        </w:rPr>
        <w:t xml:space="preserve">construction </w:t>
      </w:r>
      <w:r w:rsidR="001C7BFF" w:rsidRPr="008F23CC">
        <w:rPr>
          <w:rFonts w:ascii="Times New Roman" w:hAnsi="Times New Roman" w:cs="Times New Roman"/>
          <w:sz w:val="20"/>
          <w:szCs w:val="20"/>
          <w:lang w:val="en-US"/>
        </w:rPr>
        <w:t xml:space="preserve">materials. P-SOFCs can be either electrode or electrolyte </w:t>
      </w:r>
      <w:r w:rsidR="000F1405" w:rsidRPr="008F23CC">
        <w:rPr>
          <w:rFonts w:ascii="Times New Roman" w:hAnsi="Times New Roman" w:cs="Times New Roman"/>
          <w:sz w:val="20"/>
          <w:szCs w:val="20"/>
          <w:lang w:val="en-US"/>
        </w:rPr>
        <w:t>–</w:t>
      </w:r>
      <w:r w:rsidR="001C7BFF" w:rsidRPr="008F23CC">
        <w:rPr>
          <w:rFonts w:ascii="Times New Roman" w:hAnsi="Times New Roman" w:cs="Times New Roman"/>
          <w:sz w:val="20"/>
          <w:szCs w:val="20"/>
          <w:lang w:val="en-US"/>
        </w:rPr>
        <w:t xml:space="preserve"> supported. Electrolyte</w:t>
      </w:r>
      <w:r w:rsidR="000F1405"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t>supported</w:t>
      </w:r>
      <w:r w:rsidR="000F1405"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cells use YSZ membranes of about 100 </w:t>
      </w:r>
      <w:r w:rsidR="001C7BFF" w:rsidRPr="008F23CC">
        <w:rPr>
          <w:rFonts w:ascii="Times New Roman" w:hAnsi="Times New Roman" w:cs="Times New Roman"/>
          <w:sz w:val="20"/>
          <w:szCs w:val="20"/>
        </w:rPr>
        <w:t>μ</w:t>
      </w:r>
      <w:r w:rsidR="00B17539" w:rsidRPr="008F23CC">
        <w:rPr>
          <w:rFonts w:ascii="Times New Roman" w:hAnsi="Times New Roman" w:cs="Times New Roman"/>
          <w:sz w:val="20"/>
          <w:szCs w:val="20"/>
          <w:lang w:val="en-US"/>
        </w:rPr>
        <w:t>m thickness, t</w:t>
      </w:r>
      <w:r w:rsidR="001C7BFF" w:rsidRPr="008F23CC">
        <w:rPr>
          <w:rFonts w:ascii="Times New Roman" w:hAnsi="Times New Roman" w:cs="Times New Roman"/>
          <w:sz w:val="20"/>
          <w:szCs w:val="20"/>
          <w:lang w:val="en-US"/>
        </w:rPr>
        <w:t>he ohmic contribution</w:t>
      </w:r>
      <w:r w:rsidR="00B17539" w:rsidRPr="008F23CC">
        <w:rPr>
          <w:rFonts w:ascii="Times New Roman" w:hAnsi="Times New Roman" w:cs="Times New Roman"/>
          <w:sz w:val="20"/>
          <w:szCs w:val="20"/>
          <w:lang w:val="en-US"/>
        </w:rPr>
        <w:t xml:space="preserve"> of which</w:t>
      </w:r>
      <w:r w:rsidR="000E4A8A" w:rsidRPr="008F23CC">
        <w:rPr>
          <w:rFonts w:ascii="Times New Roman" w:hAnsi="Times New Roman" w:cs="Times New Roman"/>
          <w:sz w:val="20"/>
          <w:szCs w:val="20"/>
          <w:lang w:val="en-US"/>
        </w:rPr>
        <w:t>,</w:t>
      </w:r>
      <w:r w:rsidR="00B17539" w:rsidRPr="008F23CC">
        <w:rPr>
          <w:rFonts w:ascii="Times New Roman" w:hAnsi="Times New Roman" w:cs="Times New Roman"/>
          <w:sz w:val="20"/>
          <w:szCs w:val="20"/>
          <w:lang w:val="en-US"/>
        </w:rPr>
        <w:t xml:space="preserve"> is still high </w:t>
      </w:r>
      <w:r w:rsidR="001C7BFF" w:rsidRPr="008F23CC">
        <w:rPr>
          <w:rFonts w:ascii="Times New Roman" w:hAnsi="Times New Roman" w:cs="Times New Roman"/>
          <w:sz w:val="20"/>
          <w:szCs w:val="20"/>
          <w:lang w:val="en-US"/>
        </w:rPr>
        <w:t>for operation below 900°C. In electrode</w:t>
      </w:r>
      <w:r w:rsidR="000E4A8A"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t>supported</w:t>
      </w:r>
      <w:r w:rsidR="000E4A8A"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cells, the supporting component can either be the anode or the cathode. In these designs, the electrolyte is typically between 5 – 30 </w:t>
      </w:r>
      <w:r w:rsidR="001C7BFF" w:rsidRPr="008F23CC">
        <w:rPr>
          <w:rFonts w:ascii="Times New Roman" w:hAnsi="Times New Roman" w:cs="Times New Roman"/>
          <w:sz w:val="20"/>
          <w:szCs w:val="20"/>
        </w:rPr>
        <w:t>μ</w:t>
      </w:r>
      <w:r w:rsidR="001C7BFF" w:rsidRPr="008F23CC">
        <w:rPr>
          <w:rFonts w:ascii="Times New Roman" w:hAnsi="Times New Roman" w:cs="Times New Roman"/>
          <w:sz w:val="20"/>
          <w:szCs w:val="20"/>
          <w:lang w:val="en-US"/>
        </w:rPr>
        <w:t xml:space="preserve">m, while the electrode thickness can be between 250 </w:t>
      </w:r>
      <w:r w:rsidR="001C7BFF" w:rsidRPr="008F23CC">
        <w:rPr>
          <w:rFonts w:ascii="Times New Roman" w:hAnsi="Times New Roman" w:cs="Times New Roman"/>
          <w:sz w:val="20"/>
          <w:szCs w:val="20"/>
        </w:rPr>
        <w:t>μ</w:t>
      </w:r>
      <w:r w:rsidR="001C7BFF" w:rsidRPr="008F23CC">
        <w:rPr>
          <w:rFonts w:ascii="Times New Roman" w:hAnsi="Times New Roman" w:cs="Times New Roman"/>
          <w:sz w:val="20"/>
          <w:szCs w:val="20"/>
          <w:lang w:val="en-US"/>
        </w:rPr>
        <w:t xml:space="preserve">m </w:t>
      </w:r>
      <w:r w:rsidR="00B17539" w:rsidRPr="008F23CC">
        <w:rPr>
          <w:rFonts w:ascii="Times New Roman" w:hAnsi="Times New Roman" w:cs="Times New Roman"/>
          <w:sz w:val="20"/>
          <w:szCs w:val="20"/>
          <w:lang w:val="en-US"/>
        </w:rPr>
        <w:t>–</w:t>
      </w:r>
      <w:r w:rsidR="000E4A8A"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2 mm. In the cathode</w:t>
      </w:r>
      <w:r w:rsidR="000F1405"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t>supported</w:t>
      </w:r>
      <w:r w:rsidR="000F1405"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design, the YSZ electrolyte and the LSM coefficients of thermal expansion are well matched, plac</w:t>
      </w:r>
      <w:r w:rsidR="000F1405" w:rsidRPr="008F23CC">
        <w:rPr>
          <w:rFonts w:ascii="Times New Roman" w:hAnsi="Times New Roman" w:cs="Times New Roman"/>
          <w:sz w:val="20"/>
          <w:szCs w:val="20"/>
          <w:lang w:val="en-US"/>
        </w:rPr>
        <w:t>ing</w:t>
      </w:r>
      <w:r w:rsidR="001C7BFF" w:rsidRPr="008F23CC">
        <w:rPr>
          <w:rFonts w:ascii="Times New Roman" w:hAnsi="Times New Roman" w:cs="Times New Roman"/>
          <w:sz w:val="20"/>
          <w:szCs w:val="20"/>
          <w:lang w:val="en-US"/>
        </w:rPr>
        <w:t xml:space="preserve"> no restriction</w:t>
      </w:r>
      <w:r w:rsidR="000F1405"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on electrolyte thickness. In anode</w:t>
      </w:r>
      <w:r w:rsidR="000F1405"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t>supported</w:t>
      </w:r>
      <w:r w:rsidR="000F1405"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cells, the thermal expansion coefficient of </w:t>
      </w:r>
      <w:r w:rsidR="00B17539" w:rsidRPr="008F23CC">
        <w:rPr>
          <w:rFonts w:ascii="Times New Roman" w:hAnsi="Times New Roman" w:cs="Times New Roman"/>
          <w:sz w:val="20"/>
          <w:szCs w:val="20"/>
          <w:lang w:val="en-US"/>
        </w:rPr>
        <w:t>Ni</w:t>
      </w:r>
      <w:r w:rsidR="000E4A8A"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lastRenderedPageBreak/>
        <w:t>YSZ</w:t>
      </w:r>
      <w:r w:rsidR="000E4A8A" w:rsidRPr="008F23CC">
        <w:rPr>
          <w:rFonts w:ascii="Times New Roman" w:hAnsi="Times New Roman" w:cs="Times New Roman"/>
          <w:sz w:val="20"/>
          <w:szCs w:val="20"/>
          <w:lang w:val="en-US"/>
        </w:rPr>
        <w:t xml:space="preserve"> </w:t>
      </w:r>
      <w:r w:rsidR="00B17539" w:rsidRPr="008F23CC">
        <w:rPr>
          <w:rFonts w:ascii="Times New Roman" w:hAnsi="Times New Roman" w:cs="Times New Roman"/>
          <w:sz w:val="20"/>
          <w:szCs w:val="20"/>
          <w:lang w:val="en-US"/>
        </w:rPr>
        <w:t>cermets</w:t>
      </w:r>
      <w:r w:rsidR="001C7BFF" w:rsidRPr="008F23CC">
        <w:rPr>
          <w:rFonts w:ascii="Times New Roman" w:hAnsi="Times New Roman" w:cs="Times New Roman"/>
          <w:sz w:val="20"/>
          <w:szCs w:val="20"/>
          <w:lang w:val="en-US"/>
        </w:rPr>
        <w:t xml:space="preserve"> is greater than that of the YSZ electrolyte. This limit</w:t>
      </w:r>
      <w:r w:rsidR="000F1405"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the electrolyte thickness</w:t>
      </w:r>
      <w:r w:rsidR="000F1405" w:rsidRPr="008F23CC">
        <w:rPr>
          <w:rFonts w:ascii="Times New Roman" w:hAnsi="Times New Roman" w:cs="Times New Roman"/>
          <w:sz w:val="20"/>
          <w:szCs w:val="20"/>
          <w:lang w:val="en-US"/>
        </w:rPr>
        <w:t xml:space="preserve"> at</w:t>
      </w:r>
      <w:r w:rsidR="001C7BFF" w:rsidRPr="008F23CC">
        <w:rPr>
          <w:rFonts w:ascii="Times New Roman" w:hAnsi="Times New Roman" w:cs="Times New Roman"/>
          <w:sz w:val="20"/>
          <w:szCs w:val="20"/>
          <w:lang w:val="en-US"/>
        </w:rPr>
        <w:t xml:space="preserve"> about 30 </w:t>
      </w:r>
      <w:r w:rsidR="001C7BFF" w:rsidRPr="008F23CC">
        <w:rPr>
          <w:rFonts w:ascii="Times New Roman" w:hAnsi="Times New Roman" w:cs="Times New Roman"/>
          <w:sz w:val="20"/>
          <w:szCs w:val="20"/>
        </w:rPr>
        <w:t>μ</w:t>
      </w:r>
      <w:r w:rsidR="001C7BFF" w:rsidRPr="008F23CC">
        <w:rPr>
          <w:rFonts w:ascii="Times New Roman" w:hAnsi="Times New Roman" w:cs="Times New Roman"/>
          <w:sz w:val="20"/>
          <w:szCs w:val="20"/>
          <w:lang w:val="en-US"/>
        </w:rPr>
        <w:t>m. Nevertheless, in anode</w:t>
      </w:r>
      <w:r w:rsidR="000F1405" w:rsidRPr="008F23CC">
        <w:rPr>
          <w:rFonts w:ascii="Times New Roman" w:hAnsi="Times New Roman" w:cs="Times New Roman"/>
          <w:sz w:val="20"/>
          <w:szCs w:val="20"/>
          <w:lang w:val="en-US"/>
        </w:rPr>
        <w:t xml:space="preserve"> – </w:t>
      </w:r>
      <w:r w:rsidR="001C7BFF" w:rsidRPr="008F23CC">
        <w:rPr>
          <w:rFonts w:ascii="Times New Roman" w:hAnsi="Times New Roman" w:cs="Times New Roman"/>
          <w:sz w:val="20"/>
          <w:szCs w:val="20"/>
          <w:lang w:val="en-US"/>
        </w:rPr>
        <w:t>supported</w:t>
      </w:r>
      <w:r w:rsidR="000F1405"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cells concentration polarization is </w:t>
      </w:r>
      <w:r w:rsidR="00B17539" w:rsidRPr="008F23CC">
        <w:rPr>
          <w:rFonts w:ascii="Times New Roman" w:hAnsi="Times New Roman" w:cs="Times New Roman"/>
          <w:sz w:val="20"/>
          <w:szCs w:val="20"/>
          <w:lang w:val="en-US"/>
        </w:rPr>
        <w:t xml:space="preserve">much </w:t>
      </w:r>
      <w:r w:rsidR="001C7BFF" w:rsidRPr="008F23CC">
        <w:rPr>
          <w:rFonts w:ascii="Times New Roman" w:hAnsi="Times New Roman" w:cs="Times New Roman"/>
          <w:sz w:val="20"/>
          <w:szCs w:val="20"/>
          <w:lang w:val="en-US"/>
        </w:rPr>
        <w:t xml:space="preserve">lower since the effective diffusivity of the </w:t>
      </w:r>
      <w:r w:rsidR="00B17539" w:rsidRPr="008F23CC">
        <w:rPr>
          <w:rFonts w:ascii="Times New Roman" w:hAnsi="Times New Roman" w:cs="Times New Roman"/>
          <w:sz w:val="20"/>
          <w:szCs w:val="20"/>
          <w:lang w:val="en-US"/>
        </w:rPr>
        <w:t>fuel</w:t>
      </w:r>
      <w:r w:rsidR="001C7BFF" w:rsidRPr="008F23CC">
        <w:rPr>
          <w:rFonts w:ascii="Times New Roman" w:hAnsi="Times New Roman" w:cs="Times New Roman"/>
          <w:sz w:val="20"/>
          <w:szCs w:val="20"/>
          <w:lang w:val="en-US"/>
        </w:rPr>
        <w:t xml:space="preserve"> is typically 3 to 4 times greater than that of air. Anode-supported cell</w:t>
      </w:r>
      <w:r w:rsidR="00075931">
        <w:rPr>
          <w:rFonts w:ascii="Times New Roman" w:hAnsi="Times New Roman" w:cs="Times New Roman"/>
          <w:sz w:val="20"/>
          <w:szCs w:val="20"/>
          <w:lang w:val="en-US"/>
        </w:rPr>
        <w:t>s</w:t>
      </w:r>
      <w:r w:rsidR="00B17539" w:rsidRPr="008F23CC">
        <w:rPr>
          <w:rFonts w:ascii="Times New Roman" w:hAnsi="Times New Roman" w:cs="Times New Roman"/>
          <w:sz w:val="20"/>
          <w:szCs w:val="20"/>
          <w:lang w:val="en-US"/>
        </w:rPr>
        <w:t>,</w:t>
      </w:r>
      <w:r w:rsidR="001C7BFF" w:rsidRPr="008F23CC">
        <w:rPr>
          <w:rFonts w:ascii="Times New Roman" w:hAnsi="Times New Roman" w:cs="Times New Roman"/>
          <w:sz w:val="20"/>
          <w:szCs w:val="20"/>
          <w:lang w:val="en-US"/>
        </w:rPr>
        <w:t xml:space="preserve"> and lower operating temperatures create the potential for lower cost stainless steel interconnects, which are protected against oxidation by surface films of chromium oxide, aluminum oxide, or some other stable oxides </w:t>
      </w:r>
      <w:r w:rsidR="003F40D0">
        <w:rPr>
          <w:rFonts w:ascii="Times New Roman" w:hAnsi="Times New Roman" w:cs="Times New Roman"/>
          <w:sz w:val="20"/>
          <w:szCs w:val="20"/>
          <w:lang w:val="en-US"/>
        </w:rPr>
        <w:t>[1]</w:t>
      </w:r>
      <w:r w:rsidR="001C7BFF" w:rsidRPr="008F23CC">
        <w:rPr>
          <w:rFonts w:ascii="Times New Roman" w:hAnsi="Times New Roman" w:cs="Times New Roman"/>
          <w:sz w:val="20"/>
          <w:szCs w:val="20"/>
          <w:lang w:val="en-US"/>
        </w:rPr>
        <w:t xml:space="preserve">. </w:t>
      </w:r>
    </w:p>
    <w:p w:rsidR="0052738A" w:rsidRPr="008F23CC" w:rsidRDefault="001C7BFF"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Tubular </w:t>
      </w:r>
      <w:r w:rsidR="009977F1" w:rsidRPr="008F23CC">
        <w:rPr>
          <w:rFonts w:ascii="Times New Roman" w:hAnsi="Times New Roman" w:cs="Times New Roman"/>
          <w:sz w:val="20"/>
          <w:szCs w:val="20"/>
          <w:lang w:val="en-US"/>
        </w:rPr>
        <w:t>SOFCs</w:t>
      </w:r>
      <w:r w:rsidRPr="008F23CC">
        <w:rPr>
          <w:rFonts w:ascii="Times New Roman" w:hAnsi="Times New Roman" w:cs="Times New Roman"/>
          <w:sz w:val="20"/>
          <w:szCs w:val="20"/>
          <w:lang w:val="en-US"/>
        </w:rPr>
        <w:t xml:space="preserve"> </w:t>
      </w:r>
      <w:r w:rsidR="000F1405" w:rsidRPr="008F23CC">
        <w:rPr>
          <w:rFonts w:ascii="Times New Roman" w:hAnsi="Times New Roman" w:cs="Times New Roman"/>
          <w:sz w:val="20"/>
          <w:szCs w:val="20"/>
          <w:lang w:val="en-US"/>
        </w:rPr>
        <w:t>has</w:t>
      </w:r>
      <w:r w:rsidRPr="008F23CC">
        <w:rPr>
          <w:rFonts w:ascii="Times New Roman" w:hAnsi="Times New Roman" w:cs="Times New Roman"/>
          <w:sz w:val="20"/>
          <w:szCs w:val="20"/>
          <w:lang w:val="en-US"/>
        </w:rPr>
        <w:t xml:space="preserve"> </w:t>
      </w:r>
      <w:r w:rsidR="000F1405"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advantage </w:t>
      </w:r>
      <w:r w:rsidR="00114A1D" w:rsidRPr="008F23CC">
        <w:rPr>
          <w:rFonts w:ascii="Times New Roman" w:hAnsi="Times New Roman" w:cs="Times New Roman"/>
          <w:sz w:val="20"/>
          <w:szCs w:val="20"/>
          <w:lang w:val="en-US"/>
        </w:rPr>
        <w:t xml:space="preserve">not </w:t>
      </w:r>
      <w:r w:rsidRPr="008F23CC">
        <w:rPr>
          <w:rFonts w:ascii="Times New Roman" w:hAnsi="Times New Roman" w:cs="Times New Roman"/>
          <w:sz w:val="20"/>
          <w:szCs w:val="20"/>
          <w:lang w:val="en-US"/>
        </w:rPr>
        <w:t>to require</w:t>
      </w:r>
      <w:r w:rsidR="00114A1D" w:rsidRPr="008F23CC">
        <w:rPr>
          <w:rFonts w:ascii="Times New Roman" w:hAnsi="Times New Roman" w:cs="Times New Roman"/>
          <w:sz w:val="20"/>
          <w:szCs w:val="20"/>
          <w:lang w:val="en-US"/>
        </w:rPr>
        <w:t xml:space="preserve"> </w:t>
      </w:r>
      <w:r w:rsidR="009977F1" w:rsidRPr="008F23CC">
        <w:rPr>
          <w:rFonts w:ascii="Times New Roman" w:hAnsi="Times New Roman" w:cs="Times New Roman"/>
          <w:sz w:val="20"/>
          <w:szCs w:val="20"/>
          <w:lang w:val="en-US"/>
        </w:rPr>
        <w:t>extensive</w:t>
      </w:r>
      <w:r w:rsidRPr="008F23CC">
        <w:rPr>
          <w:rFonts w:ascii="Times New Roman" w:hAnsi="Times New Roman" w:cs="Times New Roman"/>
          <w:sz w:val="20"/>
          <w:szCs w:val="20"/>
          <w:lang w:val="en-US"/>
        </w:rPr>
        <w:t xml:space="preserve"> gas seal</w:t>
      </w:r>
      <w:r w:rsidR="00114A1D" w:rsidRPr="008F23CC">
        <w:rPr>
          <w:rFonts w:ascii="Times New Roman" w:hAnsi="Times New Roman" w:cs="Times New Roman"/>
          <w:sz w:val="20"/>
          <w:szCs w:val="20"/>
          <w:lang w:val="en-US"/>
        </w:rPr>
        <w:t>ing</w:t>
      </w:r>
      <w:r w:rsidR="009977F1">
        <w:rPr>
          <w:rFonts w:ascii="Times New Roman" w:hAnsi="Times New Roman" w:cs="Times New Roman"/>
          <w:sz w:val="20"/>
          <w:szCs w:val="20"/>
          <w:lang w:val="en-US"/>
        </w:rPr>
        <w:t xml:space="preserve">, which </w:t>
      </w:r>
      <w:r w:rsidR="00114A1D" w:rsidRPr="008F23CC">
        <w:rPr>
          <w:rFonts w:ascii="Times New Roman" w:hAnsi="Times New Roman" w:cs="Times New Roman"/>
          <w:sz w:val="20"/>
          <w:szCs w:val="20"/>
          <w:lang w:val="en-US"/>
        </w:rPr>
        <w:t>enables operat</w:t>
      </w:r>
      <w:r w:rsidR="009977F1">
        <w:rPr>
          <w:rFonts w:ascii="Times New Roman" w:hAnsi="Times New Roman" w:cs="Times New Roman"/>
          <w:sz w:val="20"/>
          <w:szCs w:val="20"/>
          <w:lang w:val="en-US"/>
        </w:rPr>
        <w:t>ion</w:t>
      </w:r>
      <w:r w:rsidR="00114A1D" w:rsidRPr="008F23CC">
        <w:rPr>
          <w:rFonts w:ascii="Times New Roman" w:hAnsi="Times New Roman" w:cs="Times New Roman"/>
          <w:sz w:val="20"/>
          <w:szCs w:val="20"/>
          <w:lang w:val="en-US"/>
        </w:rPr>
        <w:t xml:space="preserve"> at higher temperatures. </w:t>
      </w:r>
      <w:r w:rsidR="000B0DF1" w:rsidRPr="008F23CC">
        <w:rPr>
          <w:rFonts w:ascii="Times New Roman" w:hAnsi="Times New Roman" w:cs="Times New Roman"/>
          <w:sz w:val="20"/>
          <w:szCs w:val="20"/>
          <w:lang w:val="en-US"/>
        </w:rPr>
        <w:t xml:space="preserve">The </w:t>
      </w:r>
      <w:r w:rsidR="00114A1D" w:rsidRPr="008F23CC">
        <w:rPr>
          <w:rFonts w:ascii="Times New Roman" w:hAnsi="Times New Roman" w:cs="Times New Roman"/>
          <w:sz w:val="20"/>
          <w:szCs w:val="20"/>
          <w:lang w:val="en-US"/>
        </w:rPr>
        <w:t xml:space="preserve">closed at one end, </w:t>
      </w:r>
      <w:r w:rsidR="009977F1" w:rsidRPr="008F23CC">
        <w:rPr>
          <w:rFonts w:ascii="Times New Roman" w:hAnsi="Times New Roman" w:cs="Times New Roman"/>
          <w:sz w:val="20"/>
          <w:szCs w:val="20"/>
          <w:lang w:val="en-US"/>
        </w:rPr>
        <w:t xml:space="preserve">cathode </w:t>
      </w:r>
      <w:r w:rsidR="00114A1D" w:rsidRPr="008F23CC">
        <w:rPr>
          <w:rFonts w:ascii="Times New Roman" w:hAnsi="Times New Roman" w:cs="Times New Roman"/>
          <w:sz w:val="20"/>
          <w:szCs w:val="20"/>
          <w:lang w:val="en-US"/>
        </w:rPr>
        <w:t xml:space="preserve">supporting </w:t>
      </w:r>
      <w:r w:rsidR="000B0DF1" w:rsidRPr="008F23CC">
        <w:rPr>
          <w:rFonts w:ascii="Times New Roman" w:hAnsi="Times New Roman" w:cs="Times New Roman"/>
          <w:sz w:val="20"/>
          <w:szCs w:val="20"/>
          <w:lang w:val="en-US"/>
        </w:rPr>
        <w:t>tube</w:t>
      </w:r>
      <w:r w:rsidR="00114A1D" w:rsidRPr="008F23CC">
        <w:rPr>
          <w:rFonts w:ascii="Times New Roman" w:hAnsi="Times New Roman" w:cs="Times New Roman"/>
          <w:sz w:val="20"/>
          <w:szCs w:val="20"/>
          <w:lang w:val="en-US"/>
        </w:rPr>
        <w:t>,</w:t>
      </w:r>
      <w:r w:rsidR="000B0DF1" w:rsidRPr="008F23CC">
        <w:rPr>
          <w:rFonts w:ascii="Times New Roman" w:hAnsi="Times New Roman" w:cs="Times New Roman"/>
          <w:sz w:val="20"/>
          <w:szCs w:val="20"/>
          <w:lang w:val="en-US"/>
        </w:rPr>
        <w:t xml:space="preserve"> is fabricated by extrusion and sintering and has a porosity of 30 – 40 %. The interconnect (doped lanthanum chromite) is applied to the cathode tube as a narrow strip prior to depositing the electrolyte by masking the rest of the tube. Similarly, the interconnect strip is masked when the electrolyte is applied. Thin electrolyte structures of about 40 </w:t>
      </w:r>
      <w:r w:rsidR="000B0DF1" w:rsidRPr="008F23CC">
        <w:rPr>
          <w:rFonts w:ascii="Times New Roman" w:hAnsi="Times New Roman" w:cs="Times New Roman"/>
          <w:sz w:val="20"/>
          <w:szCs w:val="20"/>
        </w:rPr>
        <w:t>μ</w:t>
      </w:r>
      <w:r w:rsidR="000B0DF1" w:rsidRPr="008F23CC">
        <w:rPr>
          <w:rFonts w:ascii="Times New Roman" w:hAnsi="Times New Roman" w:cs="Times New Roman"/>
          <w:sz w:val="20"/>
          <w:szCs w:val="20"/>
          <w:lang w:val="en-US"/>
        </w:rPr>
        <w:t xml:space="preserve">m thickness can be fabricated by EVD, tape casting or other ceramic processing techniques. The anode is subsequently formed on the electrolyte by slurry deposition. </w:t>
      </w:r>
    </w:p>
    <w:p w:rsidR="001C7BFF" w:rsidRPr="008F23CC" w:rsidRDefault="00E9796E"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operation voltage of a SOFC is </w:t>
      </w:r>
      <w:r w:rsidR="00D615DE" w:rsidRPr="008F23CC">
        <w:rPr>
          <w:rFonts w:ascii="Times New Roman" w:hAnsi="Times New Roman" w:cs="Times New Roman"/>
          <w:sz w:val="20"/>
          <w:szCs w:val="20"/>
          <w:lang w:val="en-US"/>
        </w:rPr>
        <w:t xml:space="preserve">linearly </w:t>
      </w:r>
      <w:r w:rsidRPr="008F23CC">
        <w:rPr>
          <w:rFonts w:ascii="Times New Roman" w:hAnsi="Times New Roman" w:cs="Times New Roman"/>
          <w:sz w:val="20"/>
          <w:szCs w:val="20"/>
          <w:lang w:val="en-US"/>
        </w:rPr>
        <w:t>reduced by current density</w:t>
      </w:r>
      <w:r w:rsidR="00D615DE" w:rsidRPr="008F23CC">
        <w:rPr>
          <w:rFonts w:ascii="Times New Roman" w:hAnsi="Times New Roman" w:cs="Times New Roman"/>
          <w:sz w:val="20"/>
          <w:szCs w:val="20"/>
          <w:lang w:val="en-US"/>
        </w:rPr>
        <w:t>, by</w:t>
      </w:r>
      <w:r w:rsidR="00114A1D" w:rsidRPr="008F23CC">
        <w:rPr>
          <w:rFonts w:ascii="Times New Roman" w:hAnsi="Times New Roman" w:cs="Times New Roman"/>
          <w:sz w:val="20"/>
          <w:szCs w:val="20"/>
          <w:lang w:val="en-US"/>
        </w:rPr>
        <w:t xml:space="preserve"> an indicating coefficient of</w:t>
      </w:r>
      <w:r w:rsidR="00D615DE"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0.73 </w:t>
      </w:r>
      <w:r w:rsidR="00D615DE" w:rsidRPr="008F23CC">
        <w:rPr>
          <w:rFonts w:ascii="Times New Roman" w:hAnsi="Times New Roman" w:cs="Times New Roman"/>
          <w:sz w:val="20"/>
          <w:szCs w:val="20"/>
          <w:lang w:val="en-US"/>
        </w:rPr>
        <w:t>m</w:t>
      </w:r>
      <w:r w:rsidRPr="008F23CC">
        <w:rPr>
          <w:rFonts w:ascii="Times New Roman" w:hAnsi="Times New Roman" w:cs="Times New Roman"/>
          <w:sz w:val="20"/>
          <w:szCs w:val="20"/>
          <w:lang w:val="en-US"/>
        </w:rPr>
        <w:t>V/</w:t>
      </w:r>
      <w:r w:rsidR="00D615DE" w:rsidRPr="008F23CC">
        <w:rPr>
          <w:rFonts w:ascii="Times New Roman" w:hAnsi="Times New Roman" w:cs="Times New Roman"/>
          <w:sz w:val="20"/>
          <w:szCs w:val="20"/>
          <w:lang w:val="en-US"/>
        </w:rPr>
        <w:t>m</w:t>
      </w:r>
      <w:r w:rsidRPr="008F23CC">
        <w:rPr>
          <w:rFonts w:ascii="Times New Roman" w:hAnsi="Times New Roman" w:cs="Times New Roman"/>
          <w:sz w:val="20"/>
          <w:szCs w:val="20"/>
          <w:lang w:val="en-US"/>
        </w:rPr>
        <w:t>A/cm</w:t>
      </w:r>
      <w:r w:rsidRPr="008F23CC">
        <w:rPr>
          <w:rFonts w:ascii="Times New Roman" w:hAnsi="Times New Roman" w:cs="Times New Roman"/>
          <w:sz w:val="20"/>
          <w:szCs w:val="20"/>
          <w:vertAlign w:val="superscript"/>
          <w:lang w:val="en-US"/>
        </w:rPr>
        <w:t>2</w:t>
      </w:r>
      <w:r w:rsidR="00114A1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at 1000 </w:t>
      </w:r>
      <w:r w:rsidRPr="008F23CC">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 xml:space="preserve">C and for usual component materials and thicknesses. </w:t>
      </w:r>
      <w:r w:rsidR="00D615DE" w:rsidRPr="008F23CC">
        <w:rPr>
          <w:rFonts w:ascii="Times New Roman" w:hAnsi="Times New Roman" w:cs="Times New Roman"/>
          <w:sz w:val="20"/>
          <w:szCs w:val="20"/>
          <w:lang w:val="en-US"/>
        </w:rPr>
        <w:t>V</w:t>
      </w:r>
      <w:r w:rsidR="001C7BFF" w:rsidRPr="008F23CC">
        <w:rPr>
          <w:rFonts w:ascii="Times New Roman" w:hAnsi="Times New Roman" w:cs="Times New Roman"/>
          <w:sz w:val="20"/>
          <w:szCs w:val="20"/>
          <w:lang w:val="en-US"/>
        </w:rPr>
        <w:t xml:space="preserve">oltage losses in SOFCs are </w:t>
      </w:r>
      <w:r w:rsidR="00D615DE" w:rsidRPr="008F23CC">
        <w:rPr>
          <w:rFonts w:ascii="Times New Roman" w:hAnsi="Times New Roman" w:cs="Times New Roman"/>
          <w:sz w:val="20"/>
          <w:szCs w:val="20"/>
          <w:lang w:val="en-US"/>
        </w:rPr>
        <w:t xml:space="preserve">primarily </w:t>
      </w:r>
      <w:r w:rsidR="001C7BFF" w:rsidRPr="008F23CC">
        <w:rPr>
          <w:rFonts w:ascii="Times New Roman" w:hAnsi="Times New Roman" w:cs="Times New Roman"/>
          <w:sz w:val="20"/>
          <w:szCs w:val="20"/>
          <w:lang w:val="en-US"/>
        </w:rPr>
        <w:t>governed by ohmic losses</w:t>
      </w:r>
      <w:r w:rsidR="000B0DF1" w:rsidRPr="008F23CC">
        <w:rPr>
          <w:rFonts w:ascii="Times New Roman" w:hAnsi="Times New Roman" w:cs="Times New Roman"/>
          <w:sz w:val="20"/>
          <w:szCs w:val="20"/>
          <w:lang w:val="en-US"/>
        </w:rPr>
        <w:t xml:space="preserve"> (45</w:t>
      </w:r>
      <w:r w:rsidR="009E166A">
        <w:rPr>
          <w:rFonts w:ascii="Times New Roman" w:hAnsi="Times New Roman" w:cs="Times New Roman"/>
          <w:sz w:val="20"/>
          <w:szCs w:val="20"/>
          <w:lang w:val="en-US"/>
        </w:rPr>
        <w:t>,</w:t>
      </w:r>
      <w:r w:rsidR="000B0DF1" w:rsidRPr="008F23CC">
        <w:rPr>
          <w:rFonts w:ascii="Times New Roman" w:hAnsi="Times New Roman" w:cs="Times New Roman"/>
          <w:sz w:val="20"/>
          <w:szCs w:val="20"/>
          <w:lang w:val="en-US"/>
        </w:rPr>
        <w:t xml:space="preserve"> </w:t>
      </w:r>
      <w:r w:rsidR="009E166A" w:rsidRPr="008F23CC">
        <w:rPr>
          <w:rFonts w:ascii="Times New Roman" w:hAnsi="Times New Roman" w:cs="Times New Roman"/>
          <w:sz w:val="20"/>
          <w:szCs w:val="20"/>
          <w:lang w:val="en-US"/>
        </w:rPr>
        <w:t>18</w:t>
      </w:r>
      <w:r w:rsidR="009E166A">
        <w:rPr>
          <w:rFonts w:ascii="Times New Roman" w:hAnsi="Times New Roman" w:cs="Times New Roman"/>
          <w:sz w:val="20"/>
          <w:szCs w:val="20"/>
          <w:lang w:val="en-US"/>
        </w:rPr>
        <w:t xml:space="preserve">, </w:t>
      </w:r>
      <w:r w:rsidR="009E166A" w:rsidRPr="008F23CC">
        <w:rPr>
          <w:rFonts w:ascii="Times New Roman" w:hAnsi="Times New Roman" w:cs="Times New Roman"/>
          <w:sz w:val="20"/>
          <w:szCs w:val="20"/>
          <w:lang w:val="en-US"/>
        </w:rPr>
        <w:t>12</w:t>
      </w:r>
      <w:r w:rsidR="009E166A">
        <w:rPr>
          <w:rFonts w:ascii="Times New Roman" w:hAnsi="Times New Roman" w:cs="Times New Roman"/>
          <w:sz w:val="20"/>
          <w:szCs w:val="20"/>
          <w:lang w:val="en-US"/>
        </w:rPr>
        <w:t xml:space="preserve"> and </w:t>
      </w:r>
      <w:r w:rsidR="009E166A" w:rsidRPr="008F23CC">
        <w:rPr>
          <w:rFonts w:ascii="Times New Roman" w:hAnsi="Times New Roman" w:cs="Times New Roman"/>
          <w:sz w:val="20"/>
          <w:szCs w:val="20"/>
          <w:lang w:val="en-US"/>
        </w:rPr>
        <w:t>25</w:t>
      </w:r>
      <w:r w:rsidR="000B0DF1"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from the cathode, the anode, the electrolyte, and the interconnect</w:t>
      </w:r>
      <w:r w:rsidR="000B0DF1" w:rsidRPr="008F23CC">
        <w:rPr>
          <w:rFonts w:ascii="Times New Roman" w:hAnsi="Times New Roman" w:cs="Times New Roman"/>
          <w:sz w:val="20"/>
          <w:szCs w:val="20"/>
          <w:lang w:val="en-US"/>
        </w:rPr>
        <w:t>)</w:t>
      </w:r>
      <w:r w:rsidR="001C7BFF" w:rsidRPr="008F23CC">
        <w:rPr>
          <w:rFonts w:ascii="Times New Roman" w:hAnsi="Times New Roman" w:cs="Times New Roman"/>
          <w:sz w:val="20"/>
          <w:szCs w:val="20"/>
          <w:lang w:val="en-US"/>
        </w:rPr>
        <w:t xml:space="preserve">. The voltage </w:t>
      </w:r>
      <w:r w:rsidR="00080EAA" w:rsidRPr="008F23CC">
        <w:rPr>
          <w:rFonts w:ascii="Times New Roman" w:hAnsi="Times New Roman" w:cs="Times New Roman"/>
          <w:sz w:val="20"/>
          <w:szCs w:val="20"/>
          <w:lang w:val="en-US"/>
        </w:rPr>
        <w:t>loss</w:t>
      </w:r>
      <w:r w:rsidR="001C7BFF" w:rsidRPr="008F23CC">
        <w:rPr>
          <w:rFonts w:ascii="Times New Roman" w:hAnsi="Times New Roman" w:cs="Times New Roman"/>
          <w:sz w:val="20"/>
          <w:szCs w:val="20"/>
          <w:lang w:val="en-US"/>
        </w:rPr>
        <w:t xml:space="preserve"> is </w:t>
      </w:r>
      <w:r w:rsidR="00D615DE" w:rsidRPr="008F23CC">
        <w:rPr>
          <w:rFonts w:ascii="Times New Roman" w:hAnsi="Times New Roman" w:cs="Times New Roman"/>
          <w:sz w:val="20"/>
          <w:szCs w:val="20"/>
          <w:lang w:val="en-US"/>
        </w:rPr>
        <w:t xml:space="preserve">also </w:t>
      </w:r>
      <w:r w:rsidR="001C7BFF" w:rsidRPr="008F23CC">
        <w:rPr>
          <w:rFonts w:ascii="Times New Roman" w:hAnsi="Times New Roman" w:cs="Times New Roman"/>
          <w:sz w:val="20"/>
          <w:szCs w:val="20"/>
          <w:lang w:val="en-US"/>
        </w:rPr>
        <w:t xml:space="preserve">a strong function of temperature. The performance improves with </w:t>
      </w:r>
      <w:r w:rsidR="00D615DE" w:rsidRPr="008F23CC">
        <w:rPr>
          <w:rFonts w:ascii="Times New Roman" w:hAnsi="Times New Roman" w:cs="Times New Roman"/>
          <w:sz w:val="20"/>
          <w:szCs w:val="20"/>
          <w:lang w:val="en-US"/>
        </w:rPr>
        <w:t>the use of</w:t>
      </w:r>
      <w:r w:rsidR="001C7BFF" w:rsidRPr="008F23CC">
        <w:rPr>
          <w:rFonts w:ascii="Times New Roman" w:hAnsi="Times New Roman" w:cs="Times New Roman"/>
          <w:sz w:val="20"/>
          <w:szCs w:val="20"/>
          <w:lang w:val="en-US"/>
        </w:rPr>
        <w:t xml:space="preserve"> O</w:t>
      </w:r>
      <w:r w:rsidR="001C7BFF" w:rsidRPr="008F23CC">
        <w:rPr>
          <w:rFonts w:ascii="Times New Roman" w:hAnsi="Times New Roman" w:cs="Times New Roman"/>
          <w:sz w:val="20"/>
          <w:szCs w:val="20"/>
          <w:vertAlign w:val="subscript"/>
          <w:lang w:val="en-US"/>
        </w:rPr>
        <w:t>2</w:t>
      </w:r>
      <w:r w:rsidR="001C7BFF" w:rsidRPr="008F23CC">
        <w:rPr>
          <w:rFonts w:ascii="Times New Roman" w:hAnsi="Times New Roman" w:cs="Times New Roman"/>
          <w:sz w:val="20"/>
          <w:szCs w:val="20"/>
          <w:lang w:val="en-US"/>
        </w:rPr>
        <w:t xml:space="preserve"> rather than air as oxidant</w:t>
      </w:r>
      <w:r w:rsidR="00114A1D"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which suggests that concentration polarization </w:t>
      </w:r>
      <w:r w:rsidR="00D615DE" w:rsidRPr="008F23CC">
        <w:rPr>
          <w:rFonts w:ascii="Times New Roman" w:hAnsi="Times New Roman" w:cs="Times New Roman"/>
          <w:sz w:val="20"/>
          <w:szCs w:val="20"/>
          <w:lang w:val="en-US"/>
        </w:rPr>
        <w:t>is significant</w:t>
      </w:r>
      <w:r w:rsidR="001C7BFF" w:rsidRPr="008F23CC">
        <w:rPr>
          <w:rFonts w:ascii="Times New Roman" w:hAnsi="Times New Roman" w:cs="Times New Roman"/>
          <w:sz w:val="20"/>
          <w:szCs w:val="20"/>
          <w:lang w:val="en-US"/>
        </w:rPr>
        <w:t xml:space="preserve"> during </w:t>
      </w:r>
      <w:r w:rsidR="00D615DE" w:rsidRPr="008F23CC">
        <w:rPr>
          <w:rFonts w:ascii="Times New Roman" w:hAnsi="Times New Roman" w:cs="Times New Roman"/>
          <w:sz w:val="20"/>
          <w:szCs w:val="20"/>
          <w:lang w:val="en-US"/>
        </w:rPr>
        <w:t xml:space="preserve">cathodic </w:t>
      </w:r>
      <w:r w:rsidR="001C7BFF" w:rsidRPr="008F23CC">
        <w:rPr>
          <w:rFonts w:ascii="Times New Roman" w:hAnsi="Times New Roman" w:cs="Times New Roman"/>
          <w:sz w:val="20"/>
          <w:szCs w:val="20"/>
          <w:lang w:val="en-US"/>
        </w:rPr>
        <w:t>O</w:t>
      </w:r>
      <w:r w:rsidR="001C7BFF" w:rsidRPr="008F23CC">
        <w:rPr>
          <w:rFonts w:ascii="Times New Roman" w:hAnsi="Times New Roman" w:cs="Times New Roman"/>
          <w:sz w:val="20"/>
          <w:szCs w:val="20"/>
          <w:vertAlign w:val="subscript"/>
          <w:lang w:val="en-US"/>
        </w:rPr>
        <w:t>2</w:t>
      </w:r>
      <w:r w:rsidR="001C7BFF" w:rsidRPr="008F23CC">
        <w:rPr>
          <w:rFonts w:ascii="Times New Roman" w:hAnsi="Times New Roman" w:cs="Times New Roman"/>
          <w:sz w:val="20"/>
          <w:szCs w:val="20"/>
          <w:lang w:val="en-US"/>
        </w:rPr>
        <w:t xml:space="preserve"> reduction in air. </w:t>
      </w:r>
      <w:r w:rsidR="00080EAA" w:rsidRPr="008F23CC">
        <w:rPr>
          <w:rFonts w:ascii="Times New Roman" w:hAnsi="Times New Roman" w:cs="Times New Roman"/>
          <w:sz w:val="20"/>
          <w:szCs w:val="20"/>
          <w:lang w:val="en-US"/>
        </w:rPr>
        <w:t>Although, both H</w:t>
      </w:r>
      <w:r w:rsidR="00080EAA" w:rsidRPr="008F23CC">
        <w:rPr>
          <w:rFonts w:ascii="Times New Roman" w:hAnsi="Times New Roman" w:cs="Times New Roman"/>
          <w:sz w:val="20"/>
          <w:szCs w:val="20"/>
          <w:vertAlign w:val="subscript"/>
          <w:lang w:val="en-US"/>
        </w:rPr>
        <w:t>2</w:t>
      </w:r>
      <w:r w:rsidR="00080EAA" w:rsidRPr="008F23CC">
        <w:rPr>
          <w:rFonts w:ascii="Times New Roman" w:hAnsi="Times New Roman" w:cs="Times New Roman"/>
          <w:sz w:val="20"/>
          <w:szCs w:val="20"/>
          <w:lang w:val="en-US"/>
        </w:rPr>
        <w:t xml:space="preserve"> and CO can be regarded as fuels, t</w:t>
      </w:r>
      <w:r w:rsidR="001C7BFF" w:rsidRPr="008F23CC">
        <w:rPr>
          <w:rFonts w:ascii="Times New Roman" w:hAnsi="Times New Roman" w:cs="Times New Roman"/>
          <w:sz w:val="20"/>
          <w:szCs w:val="20"/>
          <w:lang w:val="en-US"/>
        </w:rPr>
        <w:t>he theoretical potential for the H</w:t>
      </w:r>
      <w:r w:rsidR="001C7BFF" w:rsidRPr="008F23CC">
        <w:rPr>
          <w:rFonts w:ascii="Times New Roman" w:hAnsi="Times New Roman" w:cs="Times New Roman"/>
          <w:sz w:val="20"/>
          <w:szCs w:val="20"/>
          <w:vertAlign w:val="subscript"/>
          <w:lang w:val="en-US"/>
        </w:rPr>
        <w:t>2</w:t>
      </w:r>
      <w:r w:rsidR="001C7BFF" w:rsidRPr="008F23CC">
        <w:rPr>
          <w:rFonts w:ascii="Times New Roman" w:hAnsi="Times New Roman" w:cs="Times New Roman"/>
          <w:sz w:val="20"/>
          <w:szCs w:val="20"/>
          <w:lang w:val="en-US"/>
        </w:rPr>
        <w:t xml:space="preserve"> exceeds that for CO at temperatures </w:t>
      </w:r>
      <w:r w:rsidR="00080EAA" w:rsidRPr="008F23CC">
        <w:rPr>
          <w:rFonts w:ascii="Times New Roman" w:hAnsi="Times New Roman" w:cs="Times New Roman"/>
          <w:sz w:val="20"/>
          <w:szCs w:val="20"/>
          <w:lang w:val="en-US"/>
        </w:rPr>
        <w:t>above</w:t>
      </w:r>
      <w:r w:rsidR="001C7BFF" w:rsidRPr="008F23CC">
        <w:rPr>
          <w:rFonts w:ascii="Times New Roman" w:hAnsi="Times New Roman" w:cs="Times New Roman"/>
          <w:sz w:val="20"/>
          <w:szCs w:val="20"/>
          <w:lang w:val="en-US"/>
        </w:rPr>
        <w:t xml:space="preserve"> 800</w:t>
      </w:r>
      <w:r w:rsidR="00D615DE"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vertAlign w:val="superscript"/>
          <w:lang w:val="en-US"/>
        </w:rPr>
        <w:t>o</w:t>
      </w:r>
      <w:r w:rsidR="001C7BFF" w:rsidRPr="008F23CC">
        <w:rPr>
          <w:rFonts w:ascii="Times New Roman" w:hAnsi="Times New Roman" w:cs="Times New Roman"/>
          <w:sz w:val="20"/>
          <w:szCs w:val="20"/>
          <w:lang w:val="en-US"/>
        </w:rPr>
        <w:t>C</w:t>
      </w:r>
      <w:r w:rsidR="00080EAA" w:rsidRPr="008F23CC">
        <w:rPr>
          <w:rFonts w:ascii="Times New Roman" w:hAnsi="Times New Roman" w:cs="Times New Roman"/>
          <w:sz w:val="20"/>
          <w:szCs w:val="20"/>
          <w:lang w:val="en-US"/>
        </w:rPr>
        <w:t>.</w:t>
      </w:r>
      <w:r w:rsidR="001C7BFF" w:rsidRPr="008F23CC">
        <w:rPr>
          <w:rFonts w:ascii="Times New Roman" w:hAnsi="Times New Roman" w:cs="Times New Roman"/>
          <w:sz w:val="20"/>
          <w:szCs w:val="20"/>
          <w:lang w:val="en-US"/>
        </w:rPr>
        <w:t xml:space="preserve"> </w:t>
      </w:r>
      <w:r w:rsidR="00080EAA" w:rsidRPr="008F23CC">
        <w:rPr>
          <w:rFonts w:ascii="Times New Roman" w:hAnsi="Times New Roman" w:cs="Times New Roman"/>
          <w:sz w:val="20"/>
          <w:szCs w:val="20"/>
          <w:lang w:val="en-US"/>
        </w:rPr>
        <w:t>C</w:t>
      </w:r>
      <w:r w:rsidR="001C7BFF" w:rsidRPr="008F23CC">
        <w:rPr>
          <w:rFonts w:ascii="Times New Roman" w:hAnsi="Times New Roman" w:cs="Times New Roman"/>
          <w:sz w:val="20"/>
          <w:szCs w:val="20"/>
          <w:lang w:val="en-US"/>
        </w:rPr>
        <w:t xml:space="preserve">onsequently, </w:t>
      </w:r>
      <w:r w:rsidR="00D615DE" w:rsidRPr="008F23CC">
        <w:rPr>
          <w:rFonts w:ascii="Times New Roman" w:hAnsi="Times New Roman" w:cs="Times New Roman"/>
          <w:sz w:val="20"/>
          <w:szCs w:val="20"/>
          <w:lang w:val="en-US"/>
        </w:rPr>
        <w:t>increased</w:t>
      </w:r>
      <w:r w:rsidR="001C7BFF" w:rsidRPr="008F23CC">
        <w:rPr>
          <w:rFonts w:ascii="Times New Roman" w:hAnsi="Times New Roman" w:cs="Times New Roman"/>
          <w:sz w:val="20"/>
          <w:szCs w:val="20"/>
          <w:lang w:val="en-US"/>
        </w:rPr>
        <w:t xml:space="preserve"> </w:t>
      </w:r>
      <w:r w:rsidR="00CD71F9" w:rsidRPr="008F23CC">
        <w:rPr>
          <w:rFonts w:ascii="Times New Roman" w:hAnsi="Times New Roman" w:cs="Times New Roman"/>
          <w:sz w:val="20"/>
          <w:szCs w:val="20"/>
          <w:lang w:val="en-US"/>
        </w:rPr>
        <w:t>H</w:t>
      </w:r>
      <w:r w:rsidR="00CD71F9" w:rsidRPr="008F23CC">
        <w:rPr>
          <w:rFonts w:ascii="Times New Roman" w:hAnsi="Times New Roman" w:cs="Times New Roman"/>
          <w:sz w:val="20"/>
          <w:szCs w:val="20"/>
          <w:vertAlign w:val="subscript"/>
          <w:lang w:val="en-US"/>
        </w:rPr>
        <w:t xml:space="preserve">2 </w:t>
      </w:r>
      <w:r w:rsidR="00CD71F9" w:rsidRPr="008F23CC">
        <w:rPr>
          <w:rFonts w:ascii="Times New Roman" w:hAnsi="Times New Roman" w:cs="Times New Roman"/>
          <w:sz w:val="20"/>
          <w:szCs w:val="20"/>
          <w:lang w:val="en-US"/>
        </w:rPr>
        <w:t>in</w:t>
      </w:r>
      <w:r w:rsidR="001C7BFF" w:rsidRPr="008F23CC">
        <w:rPr>
          <w:rFonts w:ascii="Times New Roman" w:hAnsi="Times New Roman" w:cs="Times New Roman"/>
          <w:sz w:val="20"/>
          <w:szCs w:val="20"/>
          <w:lang w:val="en-US"/>
        </w:rPr>
        <w:t xml:space="preserve"> the fuel gas yield</w:t>
      </w:r>
      <w:r w:rsidR="00080EAA"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higher open circuit potential</w:t>
      </w:r>
      <w:r w:rsidR="00080EAA"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w:t>
      </w:r>
      <w:r w:rsidR="00080EAA" w:rsidRPr="008F23CC">
        <w:rPr>
          <w:rFonts w:ascii="Times New Roman" w:hAnsi="Times New Roman" w:cs="Times New Roman"/>
          <w:sz w:val="20"/>
          <w:szCs w:val="20"/>
          <w:lang w:val="en-US"/>
        </w:rPr>
        <w:t>and higher efficienc</w:t>
      </w:r>
      <w:r w:rsidR="00CD71F9" w:rsidRPr="008F23CC">
        <w:rPr>
          <w:rFonts w:ascii="Times New Roman" w:hAnsi="Times New Roman" w:cs="Times New Roman"/>
          <w:sz w:val="20"/>
          <w:szCs w:val="20"/>
          <w:lang w:val="en-US"/>
        </w:rPr>
        <w:t>ies</w:t>
      </w:r>
      <w:r w:rsidR="001C7BFF" w:rsidRPr="008F23CC">
        <w:rPr>
          <w:rFonts w:ascii="Times New Roman" w:hAnsi="Times New Roman" w:cs="Times New Roman"/>
          <w:sz w:val="20"/>
          <w:szCs w:val="20"/>
          <w:lang w:val="en-US"/>
        </w:rPr>
        <w:t xml:space="preserve">. </w:t>
      </w:r>
      <w:r w:rsidR="00080EAA" w:rsidRPr="008F23CC">
        <w:rPr>
          <w:rFonts w:ascii="Times New Roman" w:hAnsi="Times New Roman" w:cs="Times New Roman"/>
          <w:sz w:val="20"/>
          <w:szCs w:val="20"/>
          <w:lang w:val="en-US"/>
        </w:rPr>
        <w:t xml:space="preserve">Furthermore, </w:t>
      </w:r>
      <w:r w:rsidR="001C7BFF" w:rsidRPr="008F23CC">
        <w:rPr>
          <w:rFonts w:ascii="Times New Roman" w:hAnsi="Times New Roman" w:cs="Times New Roman"/>
          <w:sz w:val="20"/>
          <w:szCs w:val="20"/>
          <w:lang w:val="en-US"/>
        </w:rPr>
        <w:t>low concentration</w:t>
      </w:r>
      <w:r w:rsidR="00080EAA"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of H</w:t>
      </w:r>
      <w:r w:rsidR="001C7BFF" w:rsidRPr="008F23CC">
        <w:rPr>
          <w:rFonts w:ascii="Times New Roman" w:hAnsi="Times New Roman" w:cs="Times New Roman"/>
          <w:sz w:val="20"/>
          <w:szCs w:val="20"/>
          <w:vertAlign w:val="subscript"/>
          <w:lang w:val="en-US"/>
        </w:rPr>
        <w:t>2</w:t>
      </w:r>
      <w:r w:rsidR="001C7BFF" w:rsidRPr="008F23CC">
        <w:rPr>
          <w:rFonts w:ascii="Times New Roman" w:hAnsi="Times New Roman" w:cs="Times New Roman"/>
          <w:sz w:val="20"/>
          <w:szCs w:val="20"/>
          <w:lang w:val="en-US"/>
        </w:rPr>
        <w:t xml:space="preserve"> and</w:t>
      </w:r>
      <w:r w:rsidR="00080EAA" w:rsidRPr="008F23CC">
        <w:rPr>
          <w:rFonts w:ascii="Times New Roman" w:hAnsi="Times New Roman" w:cs="Times New Roman"/>
          <w:sz w:val="20"/>
          <w:szCs w:val="20"/>
          <w:lang w:val="en-US"/>
        </w:rPr>
        <w:t>/or</w:t>
      </w:r>
      <w:r w:rsidR="001C7BFF" w:rsidRPr="008F23CC">
        <w:rPr>
          <w:rFonts w:ascii="Times New Roman" w:hAnsi="Times New Roman" w:cs="Times New Roman"/>
          <w:sz w:val="20"/>
          <w:szCs w:val="20"/>
          <w:lang w:val="en-US"/>
        </w:rPr>
        <w:t xml:space="preserve"> CO </w:t>
      </w:r>
      <w:r w:rsidR="00080EAA" w:rsidRPr="008F23CC">
        <w:rPr>
          <w:rFonts w:ascii="Times New Roman" w:hAnsi="Times New Roman" w:cs="Times New Roman"/>
          <w:sz w:val="20"/>
          <w:szCs w:val="20"/>
          <w:lang w:val="en-US"/>
        </w:rPr>
        <w:t xml:space="preserve">increase </w:t>
      </w:r>
      <w:r w:rsidR="001C7BFF" w:rsidRPr="008F23CC">
        <w:rPr>
          <w:rFonts w:ascii="Times New Roman" w:hAnsi="Times New Roman" w:cs="Times New Roman"/>
          <w:sz w:val="20"/>
          <w:szCs w:val="20"/>
          <w:lang w:val="en-US"/>
        </w:rPr>
        <w:t>concentration polarization</w:t>
      </w:r>
      <w:r w:rsidR="00114A1D" w:rsidRPr="008F23CC">
        <w:rPr>
          <w:rFonts w:ascii="Times New Roman" w:hAnsi="Times New Roman" w:cs="Times New Roman"/>
          <w:sz w:val="20"/>
          <w:szCs w:val="20"/>
          <w:lang w:val="en-US"/>
        </w:rPr>
        <w:t>, and thus</w:t>
      </w:r>
      <w:r w:rsidRPr="008F23CC">
        <w:rPr>
          <w:rFonts w:ascii="Times New Roman" w:hAnsi="Times New Roman" w:cs="Times New Roman"/>
          <w:sz w:val="20"/>
          <w:szCs w:val="20"/>
          <w:lang w:val="en-US"/>
        </w:rPr>
        <w:t xml:space="preserve"> cell voltage decreases with fuel utilization</w:t>
      </w:r>
      <w:r w:rsidR="001C7BFF"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Fuel and oxidant utilizations are usually of the order of </w:t>
      </w:r>
      <w:r w:rsidR="001C7BFF" w:rsidRPr="008F23CC">
        <w:rPr>
          <w:rFonts w:ascii="Times New Roman" w:hAnsi="Times New Roman" w:cs="Times New Roman"/>
          <w:sz w:val="20"/>
          <w:szCs w:val="20"/>
          <w:lang w:val="en-US"/>
        </w:rPr>
        <w:t>85</w:t>
      </w:r>
      <w:r w:rsidRPr="008F23CC">
        <w:rPr>
          <w:rFonts w:ascii="Times New Roman" w:hAnsi="Times New Roman" w:cs="Times New Roman"/>
          <w:sz w:val="20"/>
          <w:szCs w:val="20"/>
          <w:lang w:val="en-US"/>
        </w:rPr>
        <w:t xml:space="preserve"> and </w:t>
      </w:r>
      <w:r w:rsidR="001C7BFF" w:rsidRPr="008F23CC">
        <w:rPr>
          <w:rFonts w:ascii="Times New Roman" w:hAnsi="Times New Roman" w:cs="Times New Roman"/>
          <w:sz w:val="20"/>
          <w:szCs w:val="20"/>
          <w:lang w:val="en-US"/>
        </w:rPr>
        <w:t>25</w:t>
      </w:r>
      <w:r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respectively</w:t>
      </w:r>
      <w:r w:rsidR="001C7BFF" w:rsidRPr="008F23CC">
        <w:rPr>
          <w:rFonts w:ascii="Times New Roman" w:hAnsi="Times New Roman" w:cs="Times New Roman"/>
          <w:sz w:val="20"/>
          <w:szCs w:val="20"/>
          <w:lang w:val="en-US"/>
        </w:rPr>
        <w:t xml:space="preserve">. </w:t>
      </w:r>
      <w:r w:rsidR="00CD71F9" w:rsidRPr="008F23CC">
        <w:rPr>
          <w:rFonts w:ascii="Times New Roman" w:hAnsi="Times New Roman" w:cs="Times New Roman"/>
          <w:sz w:val="20"/>
          <w:szCs w:val="20"/>
          <w:lang w:val="en-US"/>
        </w:rPr>
        <w:t xml:space="preserve">Typical operation characteristics of currently operating </w:t>
      </w:r>
      <w:r w:rsidR="00B3024E" w:rsidRPr="008F23CC">
        <w:rPr>
          <w:rFonts w:ascii="Times New Roman" w:hAnsi="Times New Roman" w:cs="Times New Roman"/>
          <w:sz w:val="20"/>
          <w:szCs w:val="20"/>
          <w:lang w:val="en-US"/>
        </w:rPr>
        <w:t>small scale (up to 5 kW</w:t>
      </w:r>
      <w:r w:rsidR="00B3024E" w:rsidRPr="008F23CC">
        <w:rPr>
          <w:rFonts w:ascii="Times New Roman" w:hAnsi="Times New Roman" w:cs="Times New Roman"/>
          <w:sz w:val="20"/>
          <w:szCs w:val="20"/>
          <w:vertAlign w:val="subscript"/>
          <w:lang w:val="en-US"/>
        </w:rPr>
        <w:t>e</w:t>
      </w:r>
      <w:r w:rsidR="00B3024E" w:rsidRPr="008F23CC">
        <w:rPr>
          <w:rFonts w:ascii="Times New Roman" w:hAnsi="Times New Roman" w:cs="Times New Roman"/>
          <w:sz w:val="20"/>
          <w:szCs w:val="20"/>
          <w:lang w:val="en-US"/>
        </w:rPr>
        <w:t xml:space="preserve">) </w:t>
      </w:r>
      <w:r w:rsidR="00CD71F9" w:rsidRPr="008F23CC">
        <w:rPr>
          <w:rFonts w:ascii="Times New Roman" w:hAnsi="Times New Roman" w:cs="Times New Roman"/>
          <w:sz w:val="20"/>
          <w:szCs w:val="20"/>
          <w:lang w:val="en-US"/>
        </w:rPr>
        <w:t>SOFCs are ranged between 0.6 – 0.79 V, at 0.2 – 0.8 A/cm</w:t>
      </w:r>
      <w:r w:rsidR="00CD71F9" w:rsidRPr="008F23CC">
        <w:rPr>
          <w:rFonts w:ascii="Times New Roman" w:hAnsi="Times New Roman" w:cs="Times New Roman"/>
          <w:sz w:val="20"/>
          <w:szCs w:val="20"/>
          <w:vertAlign w:val="superscript"/>
          <w:lang w:val="en-US"/>
        </w:rPr>
        <w:t>2</w:t>
      </w:r>
      <w:r w:rsidR="00CD71F9" w:rsidRPr="008F23CC">
        <w:rPr>
          <w:rFonts w:ascii="Times New Roman" w:hAnsi="Times New Roman" w:cs="Times New Roman"/>
          <w:sz w:val="20"/>
          <w:szCs w:val="20"/>
          <w:lang w:val="en-US"/>
        </w:rPr>
        <w:t xml:space="preserve">, and 750 – 800 </w:t>
      </w:r>
      <w:r w:rsidR="00CD71F9" w:rsidRPr="008F23CC">
        <w:rPr>
          <w:rFonts w:ascii="Times New Roman" w:hAnsi="Times New Roman" w:cs="Times New Roman"/>
          <w:sz w:val="20"/>
          <w:szCs w:val="20"/>
          <w:vertAlign w:val="superscript"/>
          <w:lang w:val="en-US"/>
        </w:rPr>
        <w:t>o</w:t>
      </w:r>
      <w:r w:rsidR="00CD71F9" w:rsidRPr="008F23CC">
        <w:rPr>
          <w:rFonts w:ascii="Times New Roman" w:hAnsi="Times New Roman" w:cs="Times New Roman"/>
          <w:sz w:val="20"/>
          <w:szCs w:val="20"/>
          <w:lang w:val="en-US"/>
        </w:rPr>
        <w:t>C, resulting power densities of the order of 0.16 – 0.55 W/cm</w:t>
      </w:r>
      <w:r w:rsidR="00CD71F9" w:rsidRPr="008F23CC">
        <w:rPr>
          <w:rFonts w:ascii="Times New Roman" w:hAnsi="Times New Roman" w:cs="Times New Roman"/>
          <w:sz w:val="20"/>
          <w:szCs w:val="20"/>
          <w:vertAlign w:val="superscript"/>
          <w:lang w:val="en-US"/>
        </w:rPr>
        <w:t>2</w:t>
      </w:r>
      <w:r w:rsidR="00CD71F9" w:rsidRPr="008F23CC">
        <w:rPr>
          <w:rFonts w:ascii="Times New Roman" w:hAnsi="Times New Roman" w:cs="Times New Roman"/>
          <w:sz w:val="20"/>
          <w:szCs w:val="20"/>
          <w:lang w:val="en-US"/>
        </w:rPr>
        <w:t xml:space="preserve">. </w:t>
      </w:r>
      <w:r w:rsidR="005F0F89" w:rsidRPr="008F23CC">
        <w:rPr>
          <w:rFonts w:ascii="Times New Roman" w:hAnsi="Times New Roman" w:cs="Times New Roman"/>
          <w:sz w:val="20"/>
          <w:szCs w:val="20"/>
          <w:lang w:val="en-US"/>
        </w:rPr>
        <w:t xml:space="preserve">When combined with gas turbines, SOFCs are expected to achieve up to 60 – 70 % electrical efficiency and up to 80 – 85 % cogeneration efficiency. </w:t>
      </w:r>
      <w:r w:rsidR="001C7BFF" w:rsidRPr="008F23CC">
        <w:rPr>
          <w:rFonts w:ascii="Times New Roman" w:hAnsi="Times New Roman" w:cs="Times New Roman"/>
          <w:sz w:val="20"/>
          <w:szCs w:val="20"/>
          <w:lang w:val="en-US"/>
        </w:rPr>
        <w:t>The durability of SOFC</w:t>
      </w:r>
      <w:r w:rsidR="00B3024E" w:rsidRPr="008F23CC">
        <w:rPr>
          <w:rFonts w:ascii="Times New Roman" w:hAnsi="Times New Roman" w:cs="Times New Roman"/>
          <w:sz w:val="20"/>
          <w:szCs w:val="20"/>
          <w:lang w:val="en-US"/>
        </w:rPr>
        <w:t>s</w:t>
      </w:r>
      <w:r w:rsidR="001C7BFF" w:rsidRPr="008F23CC">
        <w:rPr>
          <w:rFonts w:ascii="Times New Roman" w:hAnsi="Times New Roman" w:cs="Times New Roman"/>
          <w:sz w:val="20"/>
          <w:szCs w:val="20"/>
          <w:lang w:val="en-US"/>
        </w:rPr>
        <w:t xml:space="preserve"> </w:t>
      </w:r>
      <w:r w:rsidR="00B3024E" w:rsidRPr="008F23CC">
        <w:rPr>
          <w:rFonts w:ascii="Times New Roman" w:hAnsi="Times New Roman" w:cs="Times New Roman"/>
          <w:sz w:val="20"/>
          <w:szCs w:val="20"/>
          <w:lang w:val="en-US"/>
        </w:rPr>
        <w:t>depends up</w:t>
      </w:r>
      <w:r w:rsidR="001C7BFF" w:rsidRPr="008F23CC">
        <w:rPr>
          <w:rFonts w:ascii="Times New Roman" w:hAnsi="Times New Roman" w:cs="Times New Roman"/>
          <w:sz w:val="20"/>
          <w:szCs w:val="20"/>
          <w:lang w:val="en-US"/>
        </w:rPr>
        <w:t>on the type of design and the operating</w:t>
      </w:r>
      <w:r w:rsidR="00B3024E"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conditions. Laboratory</w:t>
      </w:r>
      <w:r w:rsidR="00B3024E" w:rsidRPr="008F23CC">
        <w:rPr>
          <w:rFonts w:ascii="Times New Roman" w:hAnsi="Times New Roman" w:cs="Times New Roman"/>
          <w:sz w:val="20"/>
          <w:szCs w:val="20"/>
          <w:lang w:val="en-US"/>
        </w:rPr>
        <w:t xml:space="preserve"> or pilot</w:t>
      </w:r>
      <w:r w:rsidR="001C7BFF" w:rsidRPr="008F23CC">
        <w:rPr>
          <w:rFonts w:ascii="Times New Roman" w:hAnsi="Times New Roman" w:cs="Times New Roman"/>
          <w:sz w:val="20"/>
          <w:szCs w:val="20"/>
          <w:lang w:val="en-US"/>
        </w:rPr>
        <w:t xml:space="preserve"> tests </w:t>
      </w:r>
      <w:r w:rsidR="00B3024E" w:rsidRPr="008F23CC">
        <w:rPr>
          <w:rFonts w:ascii="Times New Roman" w:hAnsi="Times New Roman" w:cs="Times New Roman"/>
          <w:sz w:val="20"/>
          <w:szCs w:val="20"/>
          <w:lang w:val="en-US"/>
        </w:rPr>
        <w:t xml:space="preserve">have demonstrated lifetimes of up to 8 years, </w:t>
      </w:r>
      <w:r w:rsidR="001C7BFF" w:rsidRPr="008F23CC">
        <w:rPr>
          <w:rFonts w:ascii="Times New Roman" w:hAnsi="Times New Roman" w:cs="Times New Roman"/>
          <w:sz w:val="20"/>
          <w:szCs w:val="20"/>
          <w:lang w:val="en-US"/>
        </w:rPr>
        <w:t>at steady-state conditions</w:t>
      </w:r>
      <w:r w:rsidR="00B3024E" w:rsidRPr="008F23CC">
        <w:rPr>
          <w:rFonts w:ascii="Times New Roman" w:hAnsi="Times New Roman" w:cs="Times New Roman"/>
          <w:sz w:val="20"/>
          <w:szCs w:val="20"/>
          <w:lang w:val="en-US"/>
        </w:rPr>
        <w:t xml:space="preserve">, </w:t>
      </w:r>
      <w:r w:rsidR="001C7BFF" w:rsidRPr="008F23CC">
        <w:rPr>
          <w:rFonts w:ascii="Times New Roman" w:hAnsi="Times New Roman" w:cs="Times New Roman"/>
          <w:sz w:val="20"/>
          <w:szCs w:val="20"/>
          <w:lang w:val="en-US"/>
        </w:rPr>
        <w:t xml:space="preserve">but just 50 on/off cycles </w:t>
      </w:r>
      <w:r w:rsidR="00114A1D" w:rsidRPr="008F23CC">
        <w:rPr>
          <w:rFonts w:ascii="Times New Roman" w:hAnsi="Times New Roman" w:cs="Times New Roman"/>
          <w:sz w:val="20"/>
          <w:szCs w:val="20"/>
          <w:lang w:val="en-US"/>
        </w:rPr>
        <w:t>can</w:t>
      </w:r>
      <w:r w:rsidR="001C7BFF" w:rsidRPr="008F23CC">
        <w:rPr>
          <w:rFonts w:ascii="Times New Roman" w:hAnsi="Times New Roman" w:cs="Times New Roman"/>
          <w:sz w:val="20"/>
          <w:szCs w:val="20"/>
          <w:lang w:val="en-US"/>
        </w:rPr>
        <w:t xml:space="preserve"> cause irre</w:t>
      </w:r>
      <w:r w:rsidR="00B3024E" w:rsidRPr="008F23CC">
        <w:rPr>
          <w:rFonts w:ascii="Times New Roman" w:hAnsi="Times New Roman" w:cs="Times New Roman"/>
          <w:sz w:val="20"/>
          <w:szCs w:val="20"/>
          <w:lang w:val="en-US"/>
        </w:rPr>
        <w:t>versible damages due to thermal stresses</w:t>
      </w:r>
      <w:r w:rsidR="003F40D0">
        <w:rPr>
          <w:rFonts w:ascii="Times New Roman" w:hAnsi="Times New Roman" w:cs="Times New Roman"/>
          <w:sz w:val="20"/>
          <w:szCs w:val="20"/>
          <w:lang w:val="en-US"/>
        </w:rPr>
        <w:t xml:space="preserve"> [1,23-26].</w:t>
      </w:r>
    </w:p>
    <w:p w:rsidR="001C7BFF" w:rsidRDefault="001C7BFF"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2B56C3" w:rsidRPr="00936ADD" w:rsidRDefault="002B56C3" w:rsidP="002B56C3">
      <w:pPr>
        <w:widowControl w:val="0"/>
        <w:autoSpaceDE w:val="0"/>
        <w:autoSpaceDN w:val="0"/>
        <w:adjustRightInd w:val="0"/>
        <w:spacing w:after="0" w:line="240" w:lineRule="auto"/>
        <w:jc w:val="both"/>
        <w:rPr>
          <w:rFonts w:ascii="Times New Roman" w:hAnsi="Times New Roman" w:cs="Times New Roman"/>
          <w:b/>
          <w:bCs/>
          <w:iCs/>
          <w:lang w:val="en-US"/>
        </w:rPr>
      </w:pPr>
      <w:r w:rsidRPr="00936ADD">
        <w:rPr>
          <w:rFonts w:ascii="Times New Roman" w:hAnsi="Times New Roman" w:cs="Times New Roman"/>
          <w:b/>
          <w:bCs/>
          <w:iCs/>
          <w:lang w:val="en-US"/>
        </w:rPr>
        <w:t xml:space="preserve">3.3 Molten Carbonate Fuel Cells </w:t>
      </w:r>
    </w:p>
    <w:p w:rsidR="002B56C3" w:rsidRPr="002F7229" w:rsidRDefault="002F7229" w:rsidP="002B56C3">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r w:rsidRPr="008F23CC">
        <w:rPr>
          <w:rFonts w:ascii="Times New Roman" w:hAnsi="Times New Roman" w:cs="Times New Roman"/>
          <w:sz w:val="20"/>
          <w:szCs w:val="20"/>
          <w:lang w:val="en-US"/>
        </w:rPr>
        <w:t>MCFCs can operate efficiently with CO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containing fuels, i.e. hydrocarbon reformates, coal and biomass derived gases, although t</w:t>
      </w:r>
      <w:r w:rsidRPr="008F23CC">
        <w:rPr>
          <w:rFonts w:ascii="Times New Roman" w:hAnsi="Times New Roman" w:cs="Times New Roman"/>
          <w:color w:val="000000"/>
          <w:sz w:val="20"/>
          <w:szCs w:val="20"/>
          <w:lang w:val="en-US"/>
        </w:rPr>
        <w:t>he need for CO</w:t>
      </w:r>
      <w:r w:rsidRPr="008F23CC">
        <w:rPr>
          <w:rFonts w:ascii="Times New Roman" w:hAnsi="Times New Roman" w:cs="Times New Roman"/>
          <w:color w:val="000000"/>
          <w:sz w:val="20"/>
          <w:szCs w:val="20"/>
          <w:vertAlign w:val="subscript"/>
          <w:lang w:val="en-US"/>
        </w:rPr>
        <w:t>2</w:t>
      </w:r>
      <w:r w:rsidRPr="008F23CC">
        <w:rPr>
          <w:rFonts w:ascii="Times New Roman" w:hAnsi="Times New Roman" w:cs="Times New Roman"/>
          <w:color w:val="000000"/>
          <w:sz w:val="20"/>
          <w:szCs w:val="20"/>
          <w:lang w:val="en-US"/>
        </w:rPr>
        <w:t xml:space="preserve"> at the cathode requires, either its transfer from the anode exit (usual practice) or its production by the combustion of the anode exhaust gas. </w:t>
      </w:r>
      <w:r w:rsidR="002B56C3" w:rsidRPr="008F23CC">
        <w:rPr>
          <w:rFonts w:ascii="Times New Roman" w:hAnsi="Times New Roman" w:cs="Times New Roman"/>
          <w:sz w:val="20"/>
          <w:szCs w:val="20"/>
          <w:lang w:val="en-US"/>
        </w:rPr>
        <w:t xml:space="preserve">The electrolyte </w:t>
      </w:r>
      <w:r w:rsidR="00635D91" w:rsidRPr="008F23CC">
        <w:rPr>
          <w:rFonts w:ascii="Times New Roman" w:hAnsi="Times New Roman" w:cs="Times New Roman"/>
          <w:sz w:val="20"/>
          <w:szCs w:val="20"/>
          <w:lang w:val="en-US"/>
        </w:rPr>
        <w:t xml:space="preserve">of </w:t>
      </w:r>
      <w:r w:rsidR="00B3024E" w:rsidRPr="008F23CC">
        <w:rPr>
          <w:rFonts w:ascii="Times New Roman" w:hAnsi="Times New Roman" w:cs="Times New Roman"/>
          <w:sz w:val="20"/>
          <w:szCs w:val="20"/>
          <w:lang w:val="en-US"/>
        </w:rPr>
        <w:t xml:space="preserve">MCFCs </w:t>
      </w:r>
      <w:r w:rsidR="002B56C3" w:rsidRPr="008F23CC">
        <w:rPr>
          <w:rFonts w:ascii="Times New Roman" w:hAnsi="Times New Roman" w:cs="Times New Roman"/>
          <w:sz w:val="20"/>
          <w:szCs w:val="20"/>
          <w:lang w:val="en-US"/>
        </w:rPr>
        <w:t>is a combination of alkali carbonates, retained in a ceramic matrix of LiAlO</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electrolyte matrix is </w:t>
      </w:r>
      <w:r w:rsidRPr="008F23CC">
        <w:rPr>
          <w:rFonts w:ascii="Times New Roman" w:hAnsi="Times New Roman" w:cs="Times New Roman"/>
          <w:sz w:val="20"/>
          <w:szCs w:val="20"/>
        </w:rPr>
        <w:t>α</w:t>
      </w:r>
      <w:r w:rsidRPr="008F23CC">
        <w:rPr>
          <w:rFonts w:ascii="Times New Roman" w:hAnsi="Times New Roman" w:cs="Times New Roman"/>
          <w:sz w:val="20"/>
          <w:szCs w:val="20"/>
          <w:lang w:val="en-US"/>
        </w:rPr>
        <w:t xml:space="preserve"> or </w:t>
      </w:r>
      <w:r w:rsidRPr="008F23CC">
        <w:rPr>
          <w:rFonts w:ascii="Times New Roman" w:hAnsi="Times New Roman" w:cs="Times New Roman"/>
          <w:sz w:val="20"/>
          <w:szCs w:val="20"/>
        </w:rPr>
        <w:t>γ</w:t>
      </w:r>
      <w:r w:rsidRPr="008F23CC">
        <w:rPr>
          <w:rFonts w:ascii="Times New Roman" w:hAnsi="Times New Roman" w:cs="Times New Roman"/>
          <w:sz w:val="20"/>
          <w:szCs w:val="20"/>
          <w:lang w:val="en-US"/>
        </w:rPr>
        <w:t>-LiAlO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In long-term operation, significant particle growth, and </w:t>
      </w:r>
      <w:r w:rsidRPr="008F23CC">
        <w:rPr>
          <w:rFonts w:ascii="Times New Roman" w:hAnsi="Times New Roman" w:cs="Times New Roman"/>
          <w:sz w:val="20"/>
          <w:szCs w:val="20"/>
        </w:rPr>
        <w:t>α</w:t>
      </w:r>
      <w:r w:rsidRPr="008F23CC">
        <w:rPr>
          <w:rFonts w:ascii="Times New Roman" w:hAnsi="Times New Roman" w:cs="Times New Roman"/>
          <w:sz w:val="20"/>
          <w:szCs w:val="20"/>
          <w:lang w:val="en-US"/>
        </w:rPr>
        <w:t xml:space="preserve"> to </w:t>
      </w:r>
      <w:r w:rsidRPr="008F23CC">
        <w:rPr>
          <w:rFonts w:ascii="Times New Roman" w:hAnsi="Times New Roman" w:cs="Times New Roman"/>
          <w:sz w:val="20"/>
          <w:szCs w:val="20"/>
        </w:rPr>
        <w:t>γ</w:t>
      </w:r>
      <w:r w:rsidRPr="008F23CC">
        <w:rPr>
          <w:rFonts w:ascii="Times New Roman" w:hAnsi="Times New Roman" w:cs="Times New Roman"/>
          <w:sz w:val="20"/>
          <w:szCs w:val="20"/>
          <w:lang w:val="en-US"/>
        </w:rPr>
        <w:t xml:space="preserve"> phase transformation, lead to detrimental changes in the pore structure of the matrix, especially in low CO</w:t>
      </w:r>
      <w:r w:rsidRPr="008F23CC">
        <w:rPr>
          <w:rFonts w:ascii="Times New Roman" w:hAnsi="Times New Roman" w:cs="Times New Roman"/>
          <w:sz w:val="20"/>
          <w:szCs w:val="20"/>
          <w:vertAlign w:val="subscript"/>
          <w:lang w:val="en-US"/>
        </w:rPr>
        <w:t>2</w:t>
      </w:r>
      <w:r w:rsidR="003F40D0">
        <w:rPr>
          <w:rFonts w:ascii="Times New Roman" w:hAnsi="Times New Roman" w:cs="Times New Roman"/>
          <w:sz w:val="20"/>
          <w:szCs w:val="20"/>
          <w:lang w:val="en-US"/>
        </w:rPr>
        <w:t xml:space="preserve"> atmospheres</w:t>
      </w:r>
      <w:r w:rsidRPr="008F23CC">
        <w:rPr>
          <w:rFonts w:ascii="Times New Roman" w:hAnsi="Times New Roman" w:cs="Times New Roman"/>
          <w:sz w:val="20"/>
          <w:szCs w:val="20"/>
          <w:lang w:val="en-US"/>
        </w:rPr>
        <w:t>, while thermal cycling below the carbonate’s freezing temperature can induce cracking of the matrix.</w:t>
      </w:r>
      <w:r>
        <w:rPr>
          <w:rFonts w:ascii="Times New Roman" w:hAnsi="Times New Roman" w:cs="Times New Roman"/>
          <w:sz w:val="20"/>
          <w:szCs w:val="20"/>
          <w:lang w:val="en-US"/>
        </w:rPr>
        <w:t xml:space="preserve"> MCFCs</w:t>
      </w:r>
      <w:r w:rsidR="002B56C3" w:rsidRPr="008F23CC">
        <w:rPr>
          <w:rFonts w:ascii="Times New Roman" w:hAnsi="Times New Roman" w:cs="Times New Roman"/>
          <w:sz w:val="20"/>
          <w:szCs w:val="20"/>
          <w:lang w:val="en-US"/>
        </w:rPr>
        <w:t xml:space="preserve"> operate at 600 – 700</w:t>
      </w:r>
      <w:r w:rsidR="00635D91"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°C, where these carbonates form a highly 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vertAlign w:val="superscript"/>
          <w:lang w:val="en-US"/>
        </w:rPr>
        <w:t>2-</w:t>
      </w:r>
      <w:r w:rsidR="002B56C3" w:rsidRPr="008F23CC">
        <w:rPr>
          <w:rFonts w:ascii="Times New Roman" w:hAnsi="Times New Roman" w:cs="Times New Roman"/>
          <w:sz w:val="20"/>
          <w:szCs w:val="20"/>
          <w:lang w:val="en-US"/>
        </w:rPr>
        <w:t xml:space="preserve"> conductive molten salt</w:t>
      </w:r>
      <w:r w:rsidR="003F40D0">
        <w:rPr>
          <w:rFonts w:ascii="Times New Roman" w:hAnsi="Times New Roman" w:cs="Times New Roman"/>
          <w:sz w:val="20"/>
          <w:szCs w:val="20"/>
          <w:lang w:val="en-US"/>
        </w:rPr>
        <w:t xml:space="preserve"> [1,27]</w:t>
      </w:r>
      <w:r w:rsidR="002B56C3" w:rsidRPr="008F23CC">
        <w:rPr>
          <w:rFonts w:ascii="Times New Roman" w:hAnsi="Times New Roman" w:cs="Times New Roman"/>
          <w:sz w:val="20"/>
          <w:szCs w:val="20"/>
          <w:lang w:val="en-US"/>
        </w:rPr>
        <w:t>. The electrolyte composition affects the per</w:t>
      </w:r>
      <w:r w:rsidR="00B3024E" w:rsidRPr="008F23CC">
        <w:rPr>
          <w:rFonts w:ascii="Times New Roman" w:hAnsi="Times New Roman" w:cs="Times New Roman"/>
          <w:sz w:val="20"/>
          <w:szCs w:val="20"/>
          <w:lang w:val="en-US"/>
        </w:rPr>
        <w:t>formance and endurance of MCFCs</w:t>
      </w:r>
      <w:r w:rsidR="00635D91" w:rsidRPr="008F23CC">
        <w:rPr>
          <w:rFonts w:ascii="Times New Roman" w:hAnsi="Times New Roman" w:cs="Times New Roman"/>
          <w:sz w:val="20"/>
          <w:szCs w:val="20"/>
          <w:lang w:val="en-US"/>
        </w:rPr>
        <w:t>, and</w:t>
      </w:r>
      <w:r w:rsidR="002B56C3" w:rsidRPr="008F23CC">
        <w:rPr>
          <w:rFonts w:ascii="Times New Roman" w:hAnsi="Times New Roman" w:cs="Times New Roman"/>
          <w:sz w:val="20"/>
          <w:szCs w:val="20"/>
          <w:lang w:val="en-US"/>
        </w:rPr>
        <w:t xml:space="preserve"> it is responsible for over 70</w:t>
      </w:r>
      <w:r w:rsidR="00635D91"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 of the cell</w:t>
      </w:r>
      <w:r w:rsidR="00635D91" w:rsidRPr="008F23CC">
        <w:rPr>
          <w:rFonts w:ascii="Times New Roman" w:hAnsi="Times New Roman" w:cs="Times New Roman"/>
          <w:sz w:val="20"/>
          <w:szCs w:val="20"/>
          <w:lang w:val="en-US"/>
        </w:rPr>
        <w:t>’s</w:t>
      </w:r>
      <w:r w:rsidR="003F40D0">
        <w:rPr>
          <w:rFonts w:ascii="Times New Roman" w:hAnsi="Times New Roman" w:cs="Times New Roman"/>
          <w:sz w:val="20"/>
          <w:szCs w:val="20"/>
          <w:lang w:val="en-US"/>
        </w:rPr>
        <w:t xml:space="preserve"> ohmic losses</w:t>
      </w:r>
      <w:r w:rsidR="002B56C3" w:rsidRPr="008F23CC">
        <w:rPr>
          <w:rFonts w:ascii="Times New Roman" w:hAnsi="Times New Roman" w:cs="Times New Roman"/>
          <w:sz w:val="20"/>
          <w:szCs w:val="20"/>
          <w:lang w:val="en-US"/>
        </w:rPr>
        <w:t>. Li</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 xml:space="preserve"> exhibit higher ionic conductivity than Na</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and K</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 xml:space="preserve">, however, </w:t>
      </w:r>
      <w:r w:rsidR="00635D91" w:rsidRPr="008F23CC">
        <w:rPr>
          <w:rFonts w:ascii="Times New Roman" w:hAnsi="Times New Roman" w:cs="Times New Roman"/>
          <w:sz w:val="20"/>
          <w:szCs w:val="20"/>
          <w:lang w:val="en-US"/>
        </w:rPr>
        <w:t xml:space="preserve">its </w:t>
      </w:r>
      <w:r w:rsidR="002B56C3" w:rsidRPr="008F23CC">
        <w:rPr>
          <w:rFonts w:ascii="Times New Roman" w:hAnsi="Times New Roman" w:cs="Times New Roman"/>
          <w:sz w:val="20"/>
          <w:szCs w:val="20"/>
          <w:lang w:val="en-US"/>
        </w:rPr>
        <w:t>gas solubility and diffusivity are lower. Present electrolytes are lithium potassium carbonate</w:t>
      </w:r>
      <w:r w:rsidR="00BD4C4D" w:rsidRPr="008F23CC">
        <w:rPr>
          <w:rFonts w:ascii="Times New Roman" w:hAnsi="Times New Roman" w:cs="Times New Roman"/>
          <w:sz w:val="20"/>
          <w:szCs w:val="20"/>
          <w:lang w:val="en-US"/>
        </w:rPr>
        <w:t>s</w:t>
      </w:r>
      <w:r w:rsidR="002B56C3" w:rsidRPr="008F23CC">
        <w:rPr>
          <w:rFonts w:ascii="Times New Roman" w:hAnsi="Times New Roman" w:cs="Times New Roman"/>
          <w:sz w:val="20"/>
          <w:szCs w:val="20"/>
          <w:lang w:val="en-US"/>
        </w:rPr>
        <w:t xml:space="preserve"> (Li</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/K</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 xml:space="preserve"> - 62:38 mol</w:t>
      </w:r>
      <w:r w:rsidR="00BD4C4D"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 for atmospheric pressure operation and lithium sodium carbonate</w:t>
      </w:r>
      <w:r w:rsidR="00BD4C4D" w:rsidRPr="008F23CC">
        <w:rPr>
          <w:rFonts w:ascii="Times New Roman" w:hAnsi="Times New Roman" w:cs="Times New Roman"/>
          <w:sz w:val="20"/>
          <w:szCs w:val="20"/>
          <w:lang w:val="en-US"/>
        </w:rPr>
        <w:t>s</w:t>
      </w:r>
      <w:r w:rsidR="002B56C3" w:rsidRPr="008F23CC">
        <w:rPr>
          <w:rFonts w:ascii="Times New Roman" w:hAnsi="Times New Roman" w:cs="Times New Roman"/>
          <w:sz w:val="20"/>
          <w:szCs w:val="20"/>
          <w:lang w:val="en-US"/>
        </w:rPr>
        <w:t xml:space="preserve"> (Li</w:t>
      </w:r>
      <w:r w:rsidR="00BD4C4D"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/Na</w:t>
      </w:r>
      <w:r w:rsidR="00BD4C4D"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CO</w:t>
      </w:r>
      <w:r w:rsidR="002B56C3" w:rsidRPr="008F23CC">
        <w:rPr>
          <w:rFonts w:ascii="Times New Roman" w:hAnsi="Times New Roman" w:cs="Times New Roman"/>
          <w:sz w:val="20"/>
          <w:szCs w:val="20"/>
          <w:vertAlign w:val="subscript"/>
          <w:lang w:val="en-US"/>
        </w:rPr>
        <w:t>3</w:t>
      </w:r>
      <w:r w:rsidR="002B56C3" w:rsidRPr="008F23CC">
        <w:rPr>
          <w:rFonts w:ascii="Times New Roman" w:hAnsi="Times New Roman" w:cs="Times New Roman"/>
          <w:sz w:val="20"/>
          <w:szCs w:val="20"/>
          <w:lang w:val="en-US"/>
        </w:rPr>
        <w:t xml:space="preserve"> -52:48 </w:t>
      </w:r>
      <w:r w:rsidR="00BD4C4D" w:rsidRPr="008F23CC">
        <w:rPr>
          <w:rFonts w:ascii="Times New Roman" w:hAnsi="Times New Roman" w:cs="Times New Roman"/>
          <w:sz w:val="20"/>
          <w:szCs w:val="20"/>
          <w:lang w:val="en-US"/>
        </w:rPr>
        <w:t>t</w:t>
      </w:r>
      <w:r w:rsidR="002B56C3" w:rsidRPr="008F23CC">
        <w:rPr>
          <w:rFonts w:ascii="Times New Roman" w:hAnsi="Times New Roman" w:cs="Times New Roman"/>
          <w:sz w:val="20"/>
          <w:szCs w:val="20"/>
          <w:lang w:val="en-US"/>
        </w:rPr>
        <w:t>o 60:40 mol%)</w:t>
      </w:r>
      <w:r w:rsidR="00BD4C4D" w:rsidRPr="008F23CC">
        <w:rPr>
          <w:rFonts w:ascii="Times New Roman" w:hAnsi="Times New Roman" w:cs="Times New Roman"/>
          <w:sz w:val="20"/>
          <w:szCs w:val="20"/>
          <w:lang w:val="en-US"/>
        </w:rPr>
        <w:t>, for operation at higher pressures</w:t>
      </w:r>
      <w:r w:rsidR="002B56C3" w:rsidRPr="008F23CC">
        <w:rPr>
          <w:rFonts w:ascii="Times New Roman" w:hAnsi="Times New Roman" w:cs="Times New Roman"/>
          <w:sz w:val="20"/>
          <w:szCs w:val="20"/>
          <w:lang w:val="en-US"/>
        </w:rPr>
        <w:t xml:space="preserve">. Electrolyte management relies on a balance </w:t>
      </w:r>
      <w:r w:rsidR="00BD4C4D" w:rsidRPr="008F23CC">
        <w:rPr>
          <w:rFonts w:ascii="Times New Roman" w:hAnsi="Times New Roman" w:cs="Times New Roman"/>
          <w:sz w:val="20"/>
          <w:szCs w:val="20"/>
          <w:lang w:val="en-US"/>
        </w:rPr>
        <w:t>of</w:t>
      </w:r>
      <w:r w:rsidR="002B56C3" w:rsidRPr="008F23CC">
        <w:rPr>
          <w:rFonts w:ascii="Times New Roman" w:hAnsi="Times New Roman" w:cs="Times New Roman"/>
          <w:sz w:val="20"/>
          <w:szCs w:val="20"/>
          <w:lang w:val="en-US"/>
        </w:rPr>
        <w:t xml:space="preserve"> capillary pressures, which permits the matrix </w:t>
      </w:r>
      <w:r w:rsidR="00BD4C4D" w:rsidRPr="008F23CC">
        <w:rPr>
          <w:rFonts w:ascii="Times New Roman" w:hAnsi="Times New Roman" w:cs="Times New Roman"/>
          <w:sz w:val="20"/>
          <w:szCs w:val="20"/>
          <w:lang w:val="en-US"/>
        </w:rPr>
        <w:t xml:space="preserve">and the porous electrodes </w:t>
      </w:r>
      <w:r w:rsidR="002B56C3" w:rsidRPr="008F23CC">
        <w:rPr>
          <w:rFonts w:ascii="Times New Roman" w:hAnsi="Times New Roman" w:cs="Times New Roman"/>
          <w:sz w:val="20"/>
          <w:szCs w:val="20"/>
          <w:lang w:val="en-US"/>
        </w:rPr>
        <w:t xml:space="preserve">to remain completely </w:t>
      </w:r>
      <w:r w:rsidR="00BD4C4D" w:rsidRPr="008F23CC">
        <w:rPr>
          <w:rFonts w:ascii="Times New Roman" w:hAnsi="Times New Roman" w:cs="Times New Roman"/>
          <w:sz w:val="20"/>
          <w:szCs w:val="20"/>
          <w:lang w:val="en-US"/>
        </w:rPr>
        <w:t xml:space="preserve">and partially filled </w:t>
      </w:r>
      <w:r w:rsidR="002B56C3" w:rsidRPr="008F23CC">
        <w:rPr>
          <w:rFonts w:ascii="Times New Roman" w:hAnsi="Times New Roman" w:cs="Times New Roman"/>
          <w:sz w:val="20"/>
          <w:szCs w:val="20"/>
          <w:lang w:val="en-US"/>
        </w:rPr>
        <w:t xml:space="preserve">with molten carbonate. </w:t>
      </w:r>
      <w:r w:rsidR="00BD4C4D" w:rsidRPr="008F23CC">
        <w:rPr>
          <w:rFonts w:ascii="Times New Roman" w:hAnsi="Times New Roman" w:cs="Times New Roman"/>
          <w:sz w:val="20"/>
          <w:szCs w:val="20"/>
          <w:lang w:val="en-US"/>
        </w:rPr>
        <w:t>The electrolyte has a low vapor pressure</w:t>
      </w:r>
      <w:r w:rsidR="00635D91" w:rsidRPr="008F23CC">
        <w:rPr>
          <w:rFonts w:ascii="Times New Roman" w:hAnsi="Times New Roman" w:cs="Times New Roman"/>
          <w:sz w:val="20"/>
          <w:szCs w:val="20"/>
          <w:lang w:val="en-US"/>
        </w:rPr>
        <w:t>,</w:t>
      </w:r>
      <w:r w:rsidR="00BD4C4D" w:rsidRPr="008F23CC">
        <w:rPr>
          <w:rFonts w:ascii="Times New Roman" w:hAnsi="Times New Roman" w:cs="Times New Roman"/>
          <w:sz w:val="20"/>
          <w:szCs w:val="20"/>
          <w:lang w:val="en-US"/>
        </w:rPr>
        <w:t xml:space="preserve"> at </w:t>
      </w:r>
      <w:r w:rsidR="00635D91" w:rsidRPr="008F23CC">
        <w:rPr>
          <w:rFonts w:ascii="Times New Roman" w:hAnsi="Times New Roman" w:cs="Times New Roman"/>
          <w:sz w:val="20"/>
          <w:szCs w:val="20"/>
          <w:lang w:val="en-US"/>
        </w:rPr>
        <w:t xml:space="preserve">the </w:t>
      </w:r>
      <w:r w:rsidR="00BD4C4D" w:rsidRPr="008F23CC">
        <w:rPr>
          <w:rFonts w:ascii="Times New Roman" w:hAnsi="Times New Roman" w:cs="Times New Roman"/>
          <w:sz w:val="20"/>
          <w:szCs w:val="20"/>
          <w:lang w:val="en-US"/>
        </w:rPr>
        <w:t>operating temperature</w:t>
      </w:r>
      <w:r w:rsidR="00635D91" w:rsidRPr="008F23CC">
        <w:rPr>
          <w:rFonts w:ascii="Times New Roman" w:hAnsi="Times New Roman" w:cs="Times New Roman"/>
          <w:sz w:val="20"/>
          <w:szCs w:val="20"/>
          <w:lang w:val="en-US"/>
        </w:rPr>
        <w:t>s,</w:t>
      </w:r>
      <w:r w:rsidR="00BD4C4D" w:rsidRPr="008F23CC">
        <w:rPr>
          <w:rFonts w:ascii="Times New Roman" w:hAnsi="Times New Roman" w:cs="Times New Roman"/>
          <w:sz w:val="20"/>
          <w:szCs w:val="20"/>
          <w:lang w:val="en-US"/>
        </w:rPr>
        <w:t xml:space="preserve"> and slowly evaporate</w:t>
      </w:r>
      <w:r>
        <w:rPr>
          <w:rFonts w:ascii="Times New Roman" w:hAnsi="Times New Roman" w:cs="Times New Roman"/>
          <w:sz w:val="20"/>
          <w:szCs w:val="20"/>
          <w:lang w:val="en-US"/>
        </w:rPr>
        <w:t>s</w:t>
      </w:r>
      <w:r w:rsidR="00BD4C4D"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An area for electrolyte improvement is to prevent gas crossover from o</w:t>
      </w:r>
      <w:r w:rsidR="003F40D0">
        <w:rPr>
          <w:rFonts w:ascii="Times New Roman" w:hAnsi="Times New Roman" w:cs="Times New Roman"/>
          <w:sz w:val="20"/>
          <w:szCs w:val="20"/>
          <w:lang w:val="en-US"/>
        </w:rPr>
        <w:t>ne electrode to the other [1].</w:t>
      </w:r>
    </w:p>
    <w:p w:rsidR="00635D91" w:rsidRPr="008F23CC" w:rsidRDefault="00635D91"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Ni</w:t>
      </w:r>
      <w:r w:rsidR="002B56C3" w:rsidRPr="008F23CC">
        <w:rPr>
          <w:rFonts w:ascii="Times New Roman" w:hAnsi="Times New Roman" w:cs="Times New Roman"/>
          <w:sz w:val="20"/>
          <w:szCs w:val="20"/>
          <w:lang w:val="en-US"/>
        </w:rPr>
        <w:t xml:space="preserve"> state</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of</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the</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art anodes contain Cr to eliminate the problem of sintering. However, Ni-Cr anodes are susceptible to creep, while Cr can be lithiated by the electrolyte and</w:t>
      </w:r>
      <w:r w:rsidR="004D38D2" w:rsidRPr="008F23CC">
        <w:rPr>
          <w:rFonts w:ascii="Times New Roman" w:hAnsi="Times New Roman" w:cs="Times New Roman"/>
          <w:sz w:val="20"/>
          <w:szCs w:val="20"/>
          <w:lang w:val="en-US"/>
        </w:rPr>
        <w:t xml:space="preserve"> consume</w:t>
      </w:r>
      <w:r w:rsidR="002B56C3" w:rsidRPr="008F23CC">
        <w:rPr>
          <w:rFonts w:ascii="Times New Roman" w:hAnsi="Times New Roman" w:cs="Times New Roman"/>
          <w:sz w:val="20"/>
          <w:szCs w:val="20"/>
          <w:lang w:val="en-US"/>
        </w:rPr>
        <w:t xml:space="preserve"> carbonate</w:t>
      </w:r>
      <w:r w:rsidR="002F7229">
        <w:rPr>
          <w:rFonts w:ascii="Times New Roman" w:hAnsi="Times New Roman" w:cs="Times New Roman"/>
          <w:sz w:val="20"/>
          <w:szCs w:val="20"/>
          <w:lang w:val="en-US"/>
        </w:rPr>
        <w:t>, leading to efforts for</w:t>
      </w:r>
      <w:r w:rsidR="002F7229" w:rsidRPr="002F7229">
        <w:rPr>
          <w:rFonts w:ascii="Times New Roman" w:hAnsi="Times New Roman" w:cs="Times New Roman"/>
          <w:sz w:val="20"/>
          <w:szCs w:val="20"/>
          <w:lang w:val="en-US"/>
        </w:rPr>
        <w:t xml:space="preserve"> </w:t>
      </w:r>
      <w:r w:rsidR="002F7229" w:rsidRPr="008F23CC">
        <w:rPr>
          <w:rFonts w:ascii="Times New Roman" w:hAnsi="Times New Roman" w:cs="Times New Roman"/>
          <w:sz w:val="20"/>
          <w:szCs w:val="20"/>
          <w:lang w:val="en-US"/>
        </w:rPr>
        <w:t>Cr</w:t>
      </w:r>
      <w:r w:rsidR="002F7229">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decrease</w:t>
      </w:r>
      <w:r w:rsidR="002B56C3" w:rsidRPr="008F23CC">
        <w:rPr>
          <w:rFonts w:ascii="Times New Roman" w:hAnsi="Times New Roman" w:cs="Times New Roman"/>
          <w:sz w:val="20"/>
          <w:szCs w:val="20"/>
          <w:lang w:val="en-US"/>
        </w:rPr>
        <w:t>. State</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of</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 xml:space="preserve">the art cathodes are made of lithiated NiO. Dissolution of the cathode </w:t>
      </w:r>
      <w:r w:rsidR="004D38D2" w:rsidRPr="008F23CC">
        <w:rPr>
          <w:rFonts w:ascii="Times New Roman" w:hAnsi="Times New Roman" w:cs="Times New Roman"/>
          <w:sz w:val="20"/>
          <w:szCs w:val="20"/>
          <w:lang w:val="en-US"/>
        </w:rPr>
        <w:t>is probably</w:t>
      </w:r>
      <w:r w:rsidR="002B56C3" w:rsidRPr="008F23CC">
        <w:rPr>
          <w:rFonts w:ascii="Times New Roman" w:hAnsi="Times New Roman" w:cs="Times New Roman"/>
          <w:sz w:val="20"/>
          <w:szCs w:val="20"/>
          <w:lang w:val="en-US"/>
        </w:rPr>
        <w:t xml:space="preserve"> the primary life-limiting constraint of MCFCs, particularly </w:t>
      </w:r>
      <w:r w:rsidRPr="008F23CC">
        <w:rPr>
          <w:rFonts w:ascii="Times New Roman" w:hAnsi="Times New Roman" w:cs="Times New Roman"/>
          <w:sz w:val="20"/>
          <w:szCs w:val="20"/>
          <w:lang w:val="en-US"/>
        </w:rPr>
        <w:t>under</w:t>
      </w:r>
      <w:r w:rsidR="002B56C3" w:rsidRPr="008F23CC">
        <w:rPr>
          <w:rFonts w:ascii="Times New Roman" w:hAnsi="Times New Roman" w:cs="Times New Roman"/>
          <w:sz w:val="20"/>
          <w:szCs w:val="20"/>
          <w:lang w:val="en-US"/>
        </w:rPr>
        <w:t xml:space="preserve"> pressurized operation. For atmospheric cells, the use </w:t>
      </w:r>
      <w:r w:rsidR="004D38D2" w:rsidRPr="008F23CC">
        <w:rPr>
          <w:rFonts w:ascii="Times New Roman" w:hAnsi="Times New Roman" w:cs="Times New Roman"/>
          <w:sz w:val="20"/>
          <w:szCs w:val="20"/>
          <w:lang w:val="en-US"/>
        </w:rPr>
        <w:t xml:space="preserve">of </w:t>
      </w:r>
      <w:r w:rsidR="002B56C3" w:rsidRPr="008F23CC">
        <w:rPr>
          <w:rFonts w:ascii="Times New Roman" w:hAnsi="Times New Roman" w:cs="Times New Roman"/>
          <w:sz w:val="20"/>
          <w:szCs w:val="20"/>
          <w:lang w:val="en-US"/>
        </w:rPr>
        <w:t>more basic melt</w:t>
      </w:r>
      <w:r w:rsidRPr="008F23CC">
        <w:rPr>
          <w:rFonts w:ascii="Times New Roman" w:hAnsi="Times New Roman" w:cs="Times New Roman"/>
          <w:sz w:val="20"/>
          <w:szCs w:val="20"/>
          <w:lang w:val="en-US"/>
        </w:rPr>
        <w:t>s (</w:t>
      </w:r>
      <w:r w:rsidR="002B56C3" w:rsidRPr="008F23CC">
        <w:rPr>
          <w:rFonts w:ascii="Times New Roman" w:hAnsi="Times New Roman" w:cs="Times New Roman"/>
          <w:sz w:val="20"/>
          <w:szCs w:val="20"/>
          <w:lang w:val="en-US"/>
        </w:rPr>
        <w:t>such as Li/NaCO</w:t>
      </w:r>
      <w:r w:rsidR="002B56C3" w:rsidRPr="008F23CC">
        <w:rPr>
          <w:rFonts w:ascii="Times New Roman" w:hAnsi="Times New Roman" w:cs="Times New Roman"/>
          <w:sz w:val="20"/>
          <w:szCs w:val="20"/>
          <w:vertAlign w:val="subscript"/>
          <w:lang w:val="en-US"/>
        </w:rPr>
        <w:t>3</w:t>
      </w:r>
      <w:r w:rsidRPr="008F23CC">
        <w:rPr>
          <w:rFonts w:ascii="Times New Roman" w:hAnsi="Times New Roman" w:cs="Times New Roman"/>
          <w:sz w:val="20"/>
          <w:szCs w:val="20"/>
          <w:lang w:val="en-US"/>
        </w:rPr>
        <w:t>)</w:t>
      </w:r>
      <w:r w:rsidR="002B56C3" w:rsidRPr="008F23CC">
        <w:rPr>
          <w:rFonts w:ascii="Times New Roman" w:hAnsi="Times New Roman" w:cs="Times New Roman"/>
          <w:sz w:val="20"/>
          <w:szCs w:val="20"/>
          <w:lang w:val="en-US"/>
        </w:rPr>
        <w:t xml:space="preserve"> reduces dissolution. To operate at higher pressures and CO</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 xml:space="preserve"> contents, alternative cathodes materials and electrolyte additives are examined. The major considerations with Ni-based anodes and NiO cathodes </w:t>
      </w:r>
      <w:r w:rsidR="002F7229">
        <w:rPr>
          <w:rFonts w:ascii="Times New Roman" w:hAnsi="Times New Roman" w:cs="Times New Roman"/>
          <w:sz w:val="20"/>
          <w:szCs w:val="20"/>
          <w:lang w:val="en-US"/>
        </w:rPr>
        <w:t>is</w:t>
      </w:r>
      <w:r w:rsidR="002B56C3" w:rsidRPr="008F23CC">
        <w:rPr>
          <w:rFonts w:ascii="Times New Roman" w:hAnsi="Times New Roman" w:cs="Times New Roman"/>
          <w:sz w:val="20"/>
          <w:szCs w:val="20"/>
          <w:lang w:val="en-US"/>
        </w:rPr>
        <w:t xml:space="preserve"> structural stability and NiO dissolution, which become worse at high CO</w:t>
      </w:r>
      <w:r w:rsidR="002B56C3" w:rsidRPr="008F23CC">
        <w:rPr>
          <w:rFonts w:ascii="Times New Roman" w:hAnsi="Times New Roman" w:cs="Times New Roman"/>
          <w:sz w:val="20"/>
          <w:szCs w:val="20"/>
          <w:vertAlign w:val="subscript"/>
          <w:lang w:val="en-US"/>
        </w:rPr>
        <w:t>2</w:t>
      </w:r>
      <w:r w:rsidR="002B56C3" w:rsidRPr="008F23CC">
        <w:rPr>
          <w:rFonts w:ascii="Times New Roman" w:hAnsi="Times New Roman" w:cs="Times New Roman"/>
          <w:sz w:val="20"/>
          <w:szCs w:val="20"/>
          <w:lang w:val="en-US"/>
        </w:rPr>
        <w:t xml:space="preserve"> partial pressures. Nevertheless, Ni dissolution and subsequent precipitation is not an issue for the desired 40,000</w:t>
      </w:r>
      <w:r w:rsidRPr="008F23CC">
        <w:rPr>
          <w:rFonts w:ascii="Times New Roman" w:hAnsi="Times New Roman" w:cs="Times New Roman"/>
          <w:sz w:val="20"/>
          <w:szCs w:val="20"/>
          <w:lang w:val="en-US"/>
        </w:rPr>
        <w:t xml:space="preserve"> – </w:t>
      </w:r>
      <w:r w:rsidR="002B56C3" w:rsidRPr="008F23CC">
        <w:rPr>
          <w:rFonts w:ascii="Times New Roman" w:hAnsi="Times New Roman" w:cs="Times New Roman"/>
          <w:sz w:val="20"/>
          <w:szCs w:val="20"/>
          <w:lang w:val="en-US"/>
        </w:rPr>
        <w:t>hour</w:t>
      </w:r>
      <w:r w:rsidRPr="008F23CC">
        <w:rPr>
          <w:rFonts w:ascii="Times New Roman" w:hAnsi="Times New Roman" w:cs="Times New Roman"/>
          <w:sz w:val="20"/>
          <w:szCs w:val="20"/>
          <w:lang w:val="en-US"/>
        </w:rPr>
        <w:t xml:space="preserve"> </w:t>
      </w:r>
      <w:r w:rsidR="002B56C3" w:rsidRPr="008F23CC">
        <w:rPr>
          <w:rFonts w:ascii="Times New Roman" w:hAnsi="Times New Roman" w:cs="Times New Roman"/>
          <w:sz w:val="20"/>
          <w:szCs w:val="20"/>
          <w:lang w:val="en-US"/>
        </w:rPr>
        <w:t>life</w:t>
      </w:r>
      <w:r w:rsidRPr="008F23CC">
        <w:rPr>
          <w:rFonts w:ascii="Times New Roman" w:hAnsi="Times New Roman" w:cs="Times New Roman"/>
          <w:sz w:val="20"/>
          <w:szCs w:val="20"/>
          <w:lang w:val="en-US"/>
        </w:rPr>
        <w:t>times</w:t>
      </w:r>
      <w:r w:rsidR="002B56C3" w:rsidRPr="008F23CC">
        <w:rPr>
          <w:rFonts w:ascii="Times New Roman" w:hAnsi="Times New Roman" w:cs="Times New Roman"/>
          <w:sz w:val="20"/>
          <w:szCs w:val="20"/>
          <w:lang w:val="en-US"/>
        </w:rPr>
        <w:t xml:space="preserve"> at atmospheric pressure, while at 10 atm only about </w:t>
      </w:r>
      <w:r w:rsidR="002B56C3" w:rsidRPr="008F23CC">
        <w:rPr>
          <w:rFonts w:ascii="Times New Roman" w:hAnsi="Times New Roman" w:cs="Times New Roman"/>
          <w:sz w:val="20"/>
          <w:szCs w:val="20"/>
          <w:lang w:val="en-US"/>
        </w:rPr>
        <w:lastRenderedPageBreak/>
        <w:t xml:space="preserve">5,000 to 10,000 hours lifetimes can be attained </w:t>
      </w:r>
      <w:r w:rsidR="00C148D3">
        <w:rPr>
          <w:rFonts w:ascii="Times New Roman" w:hAnsi="Times New Roman" w:cs="Times New Roman"/>
          <w:sz w:val="20"/>
          <w:szCs w:val="20"/>
          <w:lang w:val="en-US"/>
        </w:rPr>
        <w:t>[1,28]</w:t>
      </w:r>
      <w:r w:rsidR="002B56C3" w:rsidRPr="008F23CC">
        <w:rPr>
          <w:rFonts w:ascii="Times New Roman" w:hAnsi="Times New Roman" w:cs="Times New Roman"/>
          <w:sz w:val="20"/>
          <w:szCs w:val="20"/>
          <w:lang w:val="en-US"/>
        </w:rPr>
        <w:t xml:space="preserve">. </w:t>
      </w:r>
    </w:p>
    <w:p w:rsidR="002B56C3" w:rsidRPr="008F23CC" w:rsidRDefault="002B56C3"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present bipolar plate consists of </w:t>
      </w:r>
      <w:r w:rsidR="00635D91" w:rsidRPr="008F23CC">
        <w:rPr>
          <w:rFonts w:ascii="Times New Roman" w:hAnsi="Times New Roman" w:cs="Times New Roman"/>
          <w:sz w:val="20"/>
          <w:szCs w:val="20"/>
          <w:lang w:val="en-US"/>
        </w:rPr>
        <w:t>the</w:t>
      </w:r>
      <w:r w:rsidRPr="008F23CC">
        <w:rPr>
          <w:rFonts w:ascii="Times New Roman" w:hAnsi="Times New Roman" w:cs="Times New Roman"/>
          <w:sz w:val="20"/>
          <w:szCs w:val="20"/>
          <w:lang w:val="en-US"/>
        </w:rPr>
        <w:t xml:space="preserve"> separator, </w:t>
      </w:r>
      <w:r w:rsidR="00635D91"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current collectors, and the seal. The bipolar plates are usually fabricated from thin sheets of a stainless steel alloy coated on one side </w:t>
      </w:r>
      <w:r w:rsidR="00635D91" w:rsidRPr="008F23CC">
        <w:rPr>
          <w:rFonts w:ascii="Times New Roman" w:hAnsi="Times New Roman" w:cs="Times New Roman"/>
          <w:sz w:val="20"/>
          <w:szCs w:val="20"/>
          <w:lang w:val="en-US"/>
        </w:rPr>
        <w:t xml:space="preserve">by a Ni layer, which </w:t>
      </w:r>
      <w:r w:rsidRPr="008F23CC">
        <w:rPr>
          <w:rFonts w:ascii="Times New Roman" w:hAnsi="Times New Roman" w:cs="Times New Roman"/>
          <w:sz w:val="20"/>
          <w:szCs w:val="20"/>
          <w:lang w:val="en-US"/>
        </w:rPr>
        <w:t xml:space="preserve">is stable in the reducing environment of the anode. On the cathode side, contact electrical resistance increases as an oxide </w:t>
      </w:r>
      <w:r w:rsidR="00635D91" w:rsidRPr="008F23CC">
        <w:rPr>
          <w:rFonts w:ascii="Times New Roman" w:hAnsi="Times New Roman" w:cs="Times New Roman"/>
          <w:sz w:val="20"/>
          <w:szCs w:val="20"/>
          <w:lang w:val="en-US"/>
        </w:rPr>
        <w:t>layer</w:t>
      </w:r>
      <w:r w:rsidRPr="008F23CC">
        <w:rPr>
          <w:rFonts w:ascii="Times New Roman" w:hAnsi="Times New Roman" w:cs="Times New Roman"/>
          <w:sz w:val="20"/>
          <w:szCs w:val="20"/>
          <w:lang w:val="en-US"/>
        </w:rPr>
        <w:t xml:space="preserve"> builds up.</w:t>
      </w:r>
    </w:p>
    <w:p w:rsidR="002B56C3" w:rsidRPr="008F23CC" w:rsidRDefault="002B56C3"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high operating temperature is needed to achieve sufficient </w:t>
      </w:r>
      <w:r w:rsidR="004D38D2" w:rsidRPr="008F23CC">
        <w:rPr>
          <w:rFonts w:ascii="Times New Roman" w:hAnsi="Times New Roman" w:cs="Times New Roman"/>
          <w:sz w:val="20"/>
          <w:szCs w:val="20"/>
          <w:lang w:val="en-US"/>
        </w:rPr>
        <w:t xml:space="preserve">electrolyte </w:t>
      </w:r>
      <w:r w:rsidRPr="008F23CC">
        <w:rPr>
          <w:rFonts w:ascii="Times New Roman" w:hAnsi="Times New Roman" w:cs="Times New Roman"/>
          <w:sz w:val="20"/>
          <w:szCs w:val="20"/>
          <w:lang w:val="en-US"/>
        </w:rPr>
        <w:t xml:space="preserve">conductivity. Most MCFC stacks operate at 650 </w:t>
      </w:r>
      <w:r w:rsidRPr="008F23CC">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 xml:space="preserve">C, as a compromise between high performance and stack life, because, over 650 </w:t>
      </w:r>
      <w:r w:rsidRPr="008F23CC">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 xml:space="preserve">C there </w:t>
      </w:r>
      <w:r w:rsidR="00BF726D" w:rsidRPr="008F23CC">
        <w:rPr>
          <w:rFonts w:ascii="Times New Roman" w:hAnsi="Times New Roman" w:cs="Times New Roman"/>
          <w:sz w:val="20"/>
          <w:szCs w:val="20"/>
          <w:lang w:val="en-US"/>
        </w:rPr>
        <w:t>are</w:t>
      </w:r>
      <w:r w:rsidRPr="008F23CC">
        <w:rPr>
          <w:rFonts w:ascii="Times New Roman" w:hAnsi="Times New Roman" w:cs="Times New Roman"/>
          <w:sz w:val="20"/>
          <w:szCs w:val="20"/>
          <w:lang w:val="en-US"/>
        </w:rPr>
        <w:t xml:space="preserve"> increased electrolyte loss</w:t>
      </w:r>
      <w:r w:rsidR="00BF726D" w:rsidRPr="008F23CC">
        <w:rPr>
          <w:rFonts w:ascii="Times New Roman" w:hAnsi="Times New Roman" w:cs="Times New Roman"/>
          <w:sz w:val="20"/>
          <w:szCs w:val="20"/>
          <w:lang w:val="en-US"/>
        </w:rPr>
        <w:t>es</w:t>
      </w:r>
      <w:r w:rsidRPr="008F23CC">
        <w:rPr>
          <w:rFonts w:ascii="Times New Roman" w:hAnsi="Times New Roman" w:cs="Times New Roman"/>
          <w:sz w:val="20"/>
          <w:szCs w:val="20"/>
          <w:lang w:val="en-US"/>
        </w:rPr>
        <w:t xml:space="preserve"> </w:t>
      </w:r>
      <w:r w:rsidR="00BF726D" w:rsidRPr="008F23CC">
        <w:rPr>
          <w:rFonts w:ascii="Times New Roman" w:hAnsi="Times New Roman" w:cs="Times New Roman"/>
          <w:sz w:val="20"/>
          <w:szCs w:val="20"/>
          <w:lang w:val="en-US"/>
        </w:rPr>
        <w:t>due to</w:t>
      </w:r>
      <w:r w:rsidRPr="008F23CC">
        <w:rPr>
          <w:rFonts w:ascii="Times New Roman" w:hAnsi="Times New Roman" w:cs="Times New Roman"/>
          <w:sz w:val="20"/>
          <w:szCs w:val="20"/>
          <w:lang w:val="en-US"/>
        </w:rPr>
        <w:t xml:space="preserve"> evaporation and increased material corrosion. The influence of temperature on the reversible potential depends on several factors, one of which involves the equilibrium composition of the fuel gas. The water gas shift reaction achieves rapid equilibrium at the anode and CO serves as an indirect source of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The voltage of MCFCs varies with the composition of the reactant gases. Increasing the reactant gas utilization generally decreases cell performance. A compromise leads to typical utilizations of 75 to 85% of the fuel. The electrochemical reaction at the cathode involves the consumption of two moles CO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per mole 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and this ratio provides the optimum cathode performance. </w:t>
      </w:r>
    </w:p>
    <w:p w:rsidR="002B56C3" w:rsidRPr="008F23CC" w:rsidRDefault="002B56C3"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Gasified coal (or biomass) is expected to be the major source of fuel gas for MCFCs, but fuels derived from these sources contain a considerable number of contaminants. Sulfur compounds in low ppm concentrations are detrimental to MCFCs. At atmospheric pressure and high gas utilization (~75%), &lt;10 ppm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S in the fuel can be tolerated at the anode, and &lt;1 ppm SO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is acceptable in the cathode. These concentration limits increase with temperature, </w:t>
      </w:r>
      <w:r w:rsidR="00925D3B">
        <w:rPr>
          <w:rFonts w:ascii="Times New Roman" w:hAnsi="Times New Roman" w:cs="Times New Roman"/>
          <w:sz w:val="20"/>
          <w:szCs w:val="20"/>
          <w:lang w:val="en-US"/>
        </w:rPr>
        <w:t>and</w:t>
      </w:r>
      <w:r w:rsidRPr="008F23CC">
        <w:rPr>
          <w:rFonts w:ascii="Times New Roman" w:hAnsi="Times New Roman" w:cs="Times New Roman"/>
          <w:sz w:val="20"/>
          <w:szCs w:val="20"/>
          <w:lang w:val="en-US"/>
        </w:rPr>
        <w:t xml:space="preserve"> decrease with pressure. Halogen-containing compounds are also destructive because they can lead to severe corrosion of cathode hardware, while NOx, produced by combustion of the anode effluent, can react irreversibly with the electrolyte in the cathode compartment to form nitrate salts. </w:t>
      </w:r>
    </w:p>
    <w:p w:rsidR="002B56C3" w:rsidRPr="008F23CC" w:rsidRDefault="002B56C3"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Endurance is a critical issue in the commercialization of MCFCs. Adequate cell performance must maintain an average potential degradation no greater than </w:t>
      </w:r>
      <w:r w:rsidR="00925D3B">
        <w:rPr>
          <w:rFonts w:ascii="Times New Roman" w:hAnsi="Times New Roman" w:cs="Times New Roman"/>
          <w:sz w:val="20"/>
          <w:szCs w:val="20"/>
          <w:lang w:val="en-US"/>
        </w:rPr>
        <w:t xml:space="preserve">15 </w:t>
      </w:r>
      <w:r w:rsidRPr="008F23CC">
        <w:rPr>
          <w:rFonts w:ascii="Times New Roman" w:hAnsi="Times New Roman" w:cs="Times New Roman"/>
          <w:sz w:val="20"/>
          <w:szCs w:val="20"/>
          <w:lang w:val="en-US"/>
        </w:rPr>
        <w:t>mV/</w:t>
      </w:r>
      <w:r w:rsidR="00925D3B">
        <w:rPr>
          <w:rFonts w:ascii="Times New Roman" w:hAnsi="Times New Roman" w:cs="Times New Roman"/>
          <w:sz w:val="20"/>
          <w:szCs w:val="20"/>
          <w:lang w:val="en-US"/>
        </w:rPr>
        <w:t>a</w:t>
      </w:r>
      <w:r w:rsidRPr="008F23CC">
        <w:rPr>
          <w:rFonts w:ascii="Times New Roman" w:hAnsi="Times New Roman" w:cs="Times New Roman"/>
          <w:sz w:val="20"/>
          <w:szCs w:val="20"/>
          <w:lang w:val="en-US"/>
        </w:rPr>
        <w:t xml:space="preserve"> over a cell stack lifetime of </w:t>
      </w:r>
      <w:r w:rsidR="00925D3B">
        <w:rPr>
          <w:rFonts w:ascii="Times New Roman" w:hAnsi="Times New Roman" w:cs="Times New Roman"/>
          <w:sz w:val="20"/>
          <w:szCs w:val="20"/>
          <w:lang w:val="en-US"/>
        </w:rPr>
        <w:t>5 years</w:t>
      </w:r>
      <w:r w:rsidRPr="008F23CC">
        <w:rPr>
          <w:rFonts w:ascii="Times New Roman" w:hAnsi="Times New Roman" w:cs="Times New Roman"/>
          <w:sz w:val="20"/>
          <w:szCs w:val="20"/>
          <w:lang w:val="en-US"/>
        </w:rPr>
        <w:t xml:space="preserve">, while state-of-the-art MCFCs exhibit an average degradation of </w:t>
      </w:r>
      <w:r w:rsidR="00925D3B">
        <w:rPr>
          <w:rFonts w:ascii="Times New Roman" w:hAnsi="Times New Roman" w:cs="Times New Roman"/>
          <w:sz w:val="20"/>
          <w:szCs w:val="20"/>
          <w:lang w:val="en-US"/>
        </w:rPr>
        <w:t xml:space="preserve">40 </w:t>
      </w:r>
      <w:r w:rsidRPr="008F23CC">
        <w:rPr>
          <w:rFonts w:ascii="Times New Roman" w:hAnsi="Times New Roman" w:cs="Times New Roman"/>
          <w:sz w:val="20"/>
          <w:szCs w:val="20"/>
          <w:lang w:val="en-US"/>
        </w:rPr>
        <w:t>mV/</w:t>
      </w:r>
      <w:r w:rsidR="00925D3B">
        <w:rPr>
          <w:rFonts w:ascii="Times New Roman" w:hAnsi="Times New Roman" w:cs="Times New Roman"/>
          <w:sz w:val="20"/>
          <w:szCs w:val="20"/>
          <w:lang w:val="en-US"/>
        </w:rPr>
        <w:t>a</w:t>
      </w:r>
      <w:r w:rsidRPr="008F23CC">
        <w:rPr>
          <w:rFonts w:ascii="Times New Roman" w:hAnsi="Times New Roman" w:cs="Times New Roman"/>
          <w:sz w:val="20"/>
          <w:szCs w:val="20"/>
          <w:lang w:val="en-US"/>
        </w:rPr>
        <w:t xml:space="preserve">. At full load, MCFC system can achieve </w:t>
      </w:r>
      <w:r w:rsidR="004D38D2" w:rsidRPr="008F23CC">
        <w:rPr>
          <w:rFonts w:ascii="Times New Roman" w:hAnsi="Times New Roman" w:cs="Times New Roman"/>
          <w:sz w:val="20"/>
          <w:szCs w:val="20"/>
          <w:lang w:val="en-US"/>
        </w:rPr>
        <w:t xml:space="preserve">efficiencies up to </w:t>
      </w:r>
      <w:r w:rsidRPr="008F23CC">
        <w:rPr>
          <w:rFonts w:ascii="Times New Roman" w:hAnsi="Times New Roman" w:cs="Times New Roman"/>
          <w:sz w:val="20"/>
          <w:szCs w:val="20"/>
          <w:lang w:val="en-US"/>
        </w:rPr>
        <w:t>55%, which drops at partial loads. Typical MCFCs operate in the range 100 – 200 mA/cm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at 750 – 900 mV/cell, achieving power densities even above150 mW/cm</w:t>
      </w:r>
      <w:r w:rsidRPr="008F23CC">
        <w:rPr>
          <w:rFonts w:ascii="Times New Roman" w:hAnsi="Times New Roman" w:cs="Times New Roman"/>
          <w:sz w:val="20"/>
          <w:szCs w:val="20"/>
          <w:vertAlign w:val="superscript"/>
          <w:lang w:val="en-US"/>
        </w:rPr>
        <w:t>2</w:t>
      </w:r>
      <w:r w:rsidR="00C148D3">
        <w:rPr>
          <w:rFonts w:ascii="Times New Roman" w:hAnsi="Times New Roman" w:cs="Times New Roman"/>
          <w:sz w:val="20"/>
          <w:szCs w:val="20"/>
          <w:vertAlign w:val="superscript"/>
          <w:lang w:val="en-US"/>
        </w:rPr>
        <w:t xml:space="preserve"> </w:t>
      </w:r>
      <w:r w:rsidR="00C148D3" w:rsidRPr="00C148D3">
        <w:rPr>
          <w:rFonts w:ascii="Times New Roman" w:hAnsi="Times New Roman" w:cs="Times New Roman"/>
          <w:sz w:val="20"/>
          <w:szCs w:val="20"/>
          <w:lang w:val="en-US"/>
        </w:rPr>
        <w:t>[1,2]</w:t>
      </w:r>
      <w:r w:rsidRPr="008F23CC">
        <w:rPr>
          <w:rFonts w:ascii="Times New Roman" w:hAnsi="Times New Roman" w:cs="Times New Roman"/>
          <w:sz w:val="20"/>
          <w:szCs w:val="20"/>
          <w:lang w:val="en-US"/>
        </w:rPr>
        <w:t>.</w:t>
      </w:r>
    </w:p>
    <w:p w:rsidR="00BF726D" w:rsidRPr="008F23CC" w:rsidRDefault="00BF726D" w:rsidP="00BF726D">
      <w:pPr>
        <w:widowControl w:val="0"/>
        <w:autoSpaceDE w:val="0"/>
        <w:autoSpaceDN w:val="0"/>
        <w:adjustRightInd w:val="0"/>
        <w:spacing w:after="0" w:line="240" w:lineRule="auto"/>
        <w:jc w:val="both"/>
        <w:rPr>
          <w:rFonts w:ascii="Times New Roman" w:hAnsi="Times New Roman" w:cs="Times New Roman"/>
          <w:b/>
          <w:bCs/>
          <w:iCs/>
          <w:sz w:val="20"/>
          <w:szCs w:val="20"/>
          <w:lang w:val="en-US"/>
        </w:rPr>
      </w:pPr>
    </w:p>
    <w:p w:rsidR="00BF726D" w:rsidRPr="00936ADD" w:rsidRDefault="00BF726D" w:rsidP="00BF726D">
      <w:pPr>
        <w:widowControl w:val="0"/>
        <w:autoSpaceDE w:val="0"/>
        <w:autoSpaceDN w:val="0"/>
        <w:adjustRightInd w:val="0"/>
        <w:spacing w:after="0" w:line="240" w:lineRule="auto"/>
        <w:jc w:val="both"/>
        <w:rPr>
          <w:rFonts w:ascii="Times New Roman" w:hAnsi="Times New Roman" w:cs="Times New Roman"/>
          <w:b/>
          <w:bCs/>
          <w:iCs/>
          <w:lang w:val="en-US"/>
        </w:rPr>
      </w:pPr>
      <w:r w:rsidRPr="00936ADD">
        <w:rPr>
          <w:rFonts w:ascii="Times New Roman" w:hAnsi="Times New Roman" w:cs="Times New Roman"/>
          <w:b/>
          <w:bCs/>
          <w:iCs/>
          <w:lang w:val="en-US"/>
        </w:rPr>
        <w:t>3.4 Phosphoric Acid Fuel Cell</w:t>
      </w:r>
      <w:r w:rsidR="00AE142F" w:rsidRPr="00936ADD">
        <w:rPr>
          <w:rFonts w:ascii="Times New Roman" w:hAnsi="Times New Roman" w:cs="Times New Roman"/>
          <w:b/>
          <w:bCs/>
          <w:iCs/>
          <w:lang w:val="en-US"/>
        </w:rPr>
        <w:t>s</w:t>
      </w:r>
      <w:r w:rsidRPr="00936ADD">
        <w:rPr>
          <w:rFonts w:ascii="Times New Roman" w:hAnsi="Times New Roman" w:cs="Times New Roman"/>
          <w:b/>
          <w:bCs/>
          <w:iCs/>
          <w:lang w:val="en-US"/>
        </w:rPr>
        <w:t xml:space="preserve"> </w:t>
      </w:r>
    </w:p>
    <w:p w:rsidR="00FF13B4" w:rsidRPr="008F23CC" w:rsidRDefault="00F36B66" w:rsidP="005D1490">
      <w:pPr>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iCs/>
          <w:sz w:val="20"/>
          <w:szCs w:val="20"/>
          <w:lang w:val="en-US"/>
        </w:rPr>
        <w:t>PAFC</w:t>
      </w:r>
      <w:r w:rsidR="00AD19B9">
        <w:rPr>
          <w:rFonts w:ascii="Times New Roman" w:hAnsi="Times New Roman" w:cs="Times New Roman"/>
          <w:iCs/>
          <w:sz w:val="20"/>
          <w:szCs w:val="20"/>
          <w:lang w:val="en-US"/>
        </w:rPr>
        <w:t>s were</w:t>
      </w:r>
      <w:r w:rsidRPr="008F23CC">
        <w:rPr>
          <w:rFonts w:ascii="Times New Roman" w:hAnsi="Times New Roman" w:cs="Times New Roman"/>
          <w:iCs/>
          <w:sz w:val="20"/>
          <w:szCs w:val="20"/>
          <w:lang w:val="en-US"/>
        </w:rPr>
        <w:t xml:space="preserve"> the first fuel cell technology to be commercialized</w:t>
      </w:r>
      <w:r w:rsidR="00925D3B" w:rsidRPr="00925D3B">
        <w:rPr>
          <w:rFonts w:ascii="Times New Roman" w:hAnsi="Times New Roman" w:cs="Times New Roman"/>
          <w:sz w:val="20"/>
          <w:szCs w:val="20"/>
          <w:lang w:val="en-US"/>
        </w:rPr>
        <w:t xml:space="preserve"> </w:t>
      </w:r>
      <w:r w:rsidR="00925D3B" w:rsidRPr="008F23CC">
        <w:rPr>
          <w:rFonts w:ascii="Times New Roman" w:hAnsi="Times New Roman" w:cs="Times New Roman"/>
          <w:sz w:val="20"/>
          <w:szCs w:val="20"/>
          <w:lang w:val="en-US"/>
        </w:rPr>
        <w:t>and represented almost 40</w:t>
      </w:r>
      <w:r w:rsidR="00925D3B">
        <w:rPr>
          <w:rFonts w:ascii="Times New Roman" w:hAnsi="Times New Roman" w:cs="Times New Roman"/>
          <w:sz w:val="20"/>
          <w:szCs w:val="20"/>
          <w:lang w:val="en-US"/>
        </w:rPr>
        <w:t xml:space="preserve"> </w:t>
      </w:r>
      <w:r w:rsidR="00925D3B" w:rsidRPr="008F23CC">
        <w:rPr>
          <w:rFonts w:ascii="Times New Roman" w:hAnsi="Times New Roman" w:cs="Times New Roman"/>
          <w:sz w:val="20"/>
          <w:szCs w:val="20"/>
          <w:lang w:val="en-US"/>
        </w:rPr>
        <w:t xml:space="preserve">% of the installed </w:t>
      </w:r>
      <w:r w:rsidR="00925D3B">
        <w:rPr>
          <w:rFonts w:ascii="Times New Roman" w:hAnsi="Times New Roman" w:cs="Times New Roman"/>
          <w:sz w:val="20"/>
          <w:szCs w:val="20"/>
          <w:lang w:val="en-US"/>
        </w:rPr>
        <w:t>fuel cell</w:t>
      </w:r>
      <w:r w:rsidR="00925D3B" w:rsidRPr="008F23CC">
        <w:rPr>
          <w:rFonts w:ascii="Times New Roman" w:hAnsi="Times New Roman" w:cs="Times New Roman"/>
          <w:sz w:val="20"/>
          <w:szCs w:val="20"/>
          <w:lang w:val="en-US"/>
        </w:rPr>
        <w:t xml:space="preserve"> units </w:t>
      </w:r>
      <w:r w:rsidR="00AD19B9">
        <w:rPr>
          <w:rFonts w:ascii="Times New Roman" w:hAnsi="Times New Roman" w:cs="Times New Roman"/>
          <w:sz w:val="20"/>
          <w:szCs w:val="20"/>
          <w:lang w:val="en-US"/>
        </w:rPr>
        <w:t>in</w:t>
      </w:r>
      <w:r w:rsidR="00925D3B" w:rsidRPr="008F23CC">
        <w:rPr>
          <w:rFonts w:ascii="Times New Roman" w:hAnsi="Times New Roman" w:cs="Times New Roman"/>
          <w:sz w:val="20"/>
          <w:szCs w:val="20"/>
          <w:lang w:val="en-US"/>
        </w:rPr>
        <w:t xml:space="preserve"> 2004 [</w:t>
      </w:r>
      <w:r w:rsidR="00C148D3">
        <w:rPr>
          <w:rFonts w:ascii="Times New Roman" w:hAnsi="Times New Roman" w:cs="Times New Roman"/>
          <w:sz w:val="20"/>
          <w:szCs w:val="20"/>
          <w:lang w:val="en-US"/>
        </w:rPr>
        <w:t>29</w:t>
      </w:r>
      <w:r w:rsidR="00925D3B" w:rsidRPr="008F23CC">
        <w:rPr>
          <w:rFonts w:ascii="Times New Roman" w:hAnsi="Times New Roman" w:cs="Times New Roman"/>
          <w:sz w:val="20"/>
          <w:szCs w:val="20"/>
          <w:lang w:val="en-US"/>
        </w:rPr>
        <w:t>]</w:t>
      </w:r>
      <w:r w:rsidRPr="008F23CC">
        <w:rPr>
          <w:rFonts w:ascii="Times New Roman" w:hAnsi="Times New Roman" w:cs="Times New Roman"/>
          <w:iCs/>
          <w:sz w:val="20"/>
          <w:szCs w:val="20"/>
          <w:lang w:val="en-US"/>
        </w:rPr>
        <w:t xml:space="preserve">. Most of the </w:t>
      </w:r>
      <w:r w:rsidR="00925D3B">
        <w:rPr>
          <w:rFonts w:ascii="Times New Roman" w:hAnsi="Times New Roman" w:cs="Times New Roman"/>
          <w:iCs/>
          <w:sz w:val="20"/>
          <w:szCs w:val="20"/>
          <w:lang w:val="en-US"/>
        </w:rPr>
        <w:t>demonstration units</w:t>
      </w:r>
      <w:r w:rsidRPr="008F23CC">
        <w:rPr>
          <w:rFonts w:ascii="Times New Roman" w:hAnsi="Times New Roman" w:cs="Times New Roman"/>
          <w:iCs/>
          <w:sz w:val="20"/>
          <w:szCs w:val="20"/>
          <w:lang w:val="en-US"/>
        </w:rPr>
        <w:t xml:space="preserve"> are</w:t>
      </w:r>
      <w:r w:rsidR="0018434B" w:rsidRPr="008F23CC">
        <w:rPr>
          <w:rFonts w:ascii="Times New Roman" w:hAnsi="Times New Roman" w:cs="Times New Roman"/>
          <w:iCs/>
          <w:sz w:val="20"/>
          <w:szCs w:val="20"/>
          <w:lang w:val="en-US"/>
        </w:rPr>
        <w:t xml:space="preserve"> </w:t>
      </w:r>
      <w:r w:rsidRPr="008F23CC">
        <w:rPr>
          <w:rFonts w:ascii="Times New Roman" w:hAnsi="Times New Roman" w:cs="Times New Roman"/>
          <w:iCs/>
          <w:sz w:val="20"/>
          <w:szCs w:val="20"/>
          <w:lang w:val="en-US"/>
        </w:rPr>
        <w:t xml:space="preserve">in the </w:t>
      </w:r>
      <w:r w:rsidR="00925D3B" w:rsidRPr="008F23CC">
        <w:rPr>
          <w:rFonts w:ascii="Times New Roman" w:hAnsi="Times New Roman" w:cs="Times New Roman"/>
          <w:iCs/>
          <w:sz w:val="20"/>
          <w:szCs w:val="20"/>
          <w:lang w:val="en-US"/>
        </w:rPr>
        <w:t xml:space="preserve">range </w:t>
      </w:r>
      <w:r w:rsidR="00925D3B">
        <w:rPr>
          <w:rFonts w:ascii="Times New Roman" w:hAnsi="Times New Roman" w:cs="Times New Roman"/>
          <w:iCs/>
          <w:sz w:val="20"/>
          <w:szCs w:val="20"/>
          <w:lang w:val="en-US"/>
        </w:rPr>
        <w:t xml:space="preserve">of </w:t>
      </w:r>
      <w:r w:rsidRPr="008F23CC">
        <w:rPr>
          <w:rFonts w:ascii="Times New Roman" w:hAnsi="Times New Roman" w:cs="Times New Roman"/>
          <w:iCs/>
          <w:sz w:val="20"/>
          <w:szCs w:val="20"/>
          <w:lang w:val="en-US"/>
        </w:rPr>
        <w:t>50</w:t>
      </w:r>
      <w:r w:rsidR="00925D3B">
        <w:rPr>
          <w:rFonts w:ascii="Times New Roman" w:hAnsi="Times New Roman" w:cs="Times New Roman"/>
          <w:iCs/>
          <w:sz w:val="20"/>
          <w:szCs w:val="20"/>
          <w:lang w:val="en-US"/>
        </w:rPr>
        <w:t xml:space="preserve"> – </w:t>
      </w:r>
      <w:r w:rsidRPr="008F23CC">
        <w:rPr>
          <w:rFonts w:ascii="Times New Roman" w:hAnsi="Times New Roman" w:cs="Times New Roman"/>
          <w:iCs/>
          <w:sz w:val="20"/>
          <w:szCs w:val="20"/>
          <w:lang w:val="en-US"/>
        </w:rPr>
        <w:t>200</w:t>
      </w:r>
      <w:r w:rsidR="00925D3B">
        <w:rPr>
          <w:rFonts w:ascii="Times New Roman" w:hAnsi="Times New Roman" w:cs="Times New Roman"/>
          <w:iCs/>
          <w:sz w:val="20"/>
          <w:szCs w:val="20"/>
          <w:lang w:val="en-US"/>
        </w:rPr>
        <w:t xml:space="preserve"> </w:t>
      </w:r>
      <w:r w:rsidRPr="008F23CC">
        <w:rPr>
          <w:rFonts w:ascii="Times New Roman" w:hAnsi="Times New Roman" w:cs="Times New Roman"/>
          <w:iCs/>
          <w:sz w:val="20"/>
          <w:szCs w:val="20"/>
          <w:lang w:val="en-US"/>
        </w:rPr>
        <w:t>kW, but large</w:t>
      </w:r>
      <w:r w:rsidR="00925D3B">
        <w:rPr>
          <w:rFonts w:ascii="Times New Roman" w:hAnsi="Times New Roman" w:cs="Times New Roman"/>
          <w:iCs/>
          <w:sz w:val="20"/>
          <w:szCs w:val="20"/>
          <w:lang w:val="en-US"/>
        </w:rPr>
        <w:t>r</w:t>
      </w:r>
      <w:r w:rsidRPr="008F23CC">
        <w:rPr>
          <w:rFonts w:ascii="Times New Roman" w:hAnsi="Times New Roman" w:cs="Times New Roman"/>
          <w:iCs/>
          <w:sz w:val="20"/>
          <w:szCs w:val="20"/>
          <w:lang w:val="en-US"/>
        </w:rPr>
        <w:t xml:space="preserve"> plants </w:t>
      </w:r>
      <w:r w:rsidR="00925D3B">
        <w:rPr>
          <w:rFonts w:ascii="Times New Roman" w:hAnsi="Times New Roman" w:cs="Times New Roman"/>
          <w:iCs/>
          <w:sz w:val="20"/>
          <w:szCs w:val="20"/>
          <w:lang w:val="en-US"/>
        </w:rPr>
        <w:t>(</w:t>
      </w:r>
      <w:r w:rsidRPr="008F23CC">
        <w:rPr>
          <w:rFonts w:ascii="Times New Roman" w:hAnsi="Times New Roman" w:cs="Times New Roman"/>
          <w:iCs/>
          <w:sz w:val="20"/>
          <w:szCs w:val="20"/>
          <w:lang w:val="en-US"/>
        </w:rPr>
        <w:t xml:space="preserve">1 </w:t>
      </w:r>
      <w:r w:rsidR="00925D3B">
        <w:rPr>
          <w:rFonts w:ascii="Times New Roman" w:hAnsi="Times New Roman" w:cs="Times New Roman"/>
          <w:iCs/>
          <w:sz w:val="20"/>
          <w:szCs w:val="20"/>
          <w:lang w:val="en-US"/>
        </w:rPr>
        <w:t>–</w:t>
      </w:r>
      <w:r w:rsidRPr="008F23CC">
        <w:rPr>
          <w:rFonts w:ascii="Times New Roman" w:hAnsi="Times New Roman" w:cs="Times New Roman"/>
          <w:iCs/>
          <w:sz w:val="20"/>
          <w:szCs w:val="20"/>
          <w:lang w:val="en-US"/>
        </w:rPr>
        <w:t xml:space="preserve"> </w:t>
      </w:r>
      <w:r w:rsidR="00925D3B">
        <w:rPr>
          <w:rFonts w:ascii="Times New Roman" w:hAnsi="Times New Roman" w:cs="Times New Roman"/>
          <w:iCs/>
          <w:sz w:val="20"/>
          <w:szCs w:val="20"/>
          <w:lang w:val="en-US"/>
        </w:rPr>
        <w:t>10</w:t>
      </w:r>
      <w:r w:rsidRPr="008F23CC">
        <w:rPr>
          <w:rFonts w:ascii="Times New Roman" w:hAnsi="Times New Roman" w:cs="Times New Roman"/>
          <w:iCs/>
          <w:sz w:val="20"/>
          <w:szCs w:val="20"/>
          <w:lang w:val="en-US"/>
        </w:rPr>
        <w:t xml:space="preserve"> MW</w:t>
      </w:r>
      <w:r w:rsidR="00925D3B">
        <w:rPr>
          <w:rFonts w:ascii="Times New Roman" w:hAnsi="Times New Roman" w:cs="Times New Roman"/>
          <w:iCs/>
          <w:sz w:val="20"/>
          <w:szCs w:val="20"/>
          <w:lang w:val="en-US"/>
        </w:rPr>
        <w:t xml:space="preserve">) or </w:t>
      </w:r>
      <w:r w:rsidRPr="008F23CC">
        <w:rPr>
          <w:rFonts w:ascii="Times New Roman" w:hAnsi="Times New Roman" w:cs="Times New Roman"/>
          <w:iCs/>
          <w:sz w:val="20"/>
          <w:szCs w:val="20"/>
          <w:lang w:val="en-US"/>
        </w:rPr>
        <w:t xml:space="preserve"> </w:t>
      </w:r>
      <w:r w:rsidR="00925D3B" w:rsidRPr="008F23CC">
        <w:rPr>
          <w:rFonts w:ascii="Times New Roman" w:hAnsi="Times New Roman" w:cs="Times New Roman"/>
          <w:sz w:val="20"/>
          <w:szCs w:val="20"/>
          <w:lang w:val="en-US"/>
        </w:rPr>
        <w:t>small</w:t>
      </w:r>
      <w:r w:rsidR="00925D3B">
        <w:rPr>
          <w:rFonts w:ascii="Times New Roman" w:hAnsi="Times New Roman" w:cs="Times New Roman"/>
          <w:sz w:val="20"/>
          <w:szCs w:val="20"/>
          <w:lang w:val="en-US"/>
        </w:rPr>
        <w:t>er</w:t>
      </w:r>
      <w:r w:rsidR="00925D3B" w:rsidRPr="008F23CC">
        <w:rPr>
          <w:rFonts w:ascii="Times New Roman" w:hAnsi="Times New Roman" w:cs="Times New Roman"/>
          <w:sz w:val="20"/>
          <w:szCs w:val="20"/>
          <w:lang w:val="en-US"/>
        </w:rPr>
        <w:t xml:space="preserve"> systems </w:t>
      </w:r>
      <w:r w:rsidR="00925D3B">
        <w:rPr>
          <w:rFonts w:ascii="Times New Roman" w:hAnsi="Times New Roman" w:cs="Times New Roman"/>
          <w:sz w:val="20"/>
          <w:szCs w:val="20"/>
          <w:lang w:val="en-US"/>
        </w:rPr>
        <w:t>(</w:t>
      </w:r>
      <w:r w:rsidR="00925D3B" w:rsidRPr="008F23CC">
        <w:rPr>
          <w:rFonts w:ascii="Times New Roman" w:hAnsi="Times New Roman" w:cs="Times New Roman"/>
          <w:sz w:val="20"/>
          <w:szCs w:val="20"/>
          <w:lang w:val="en-US"/>
        </w:rPr>
        <w:t>1 – 10 kW</w:t>
      </w:r>
      <w:r w:rsidR="00925D3B">
        <w:rPr>
          <w:rFonts w:ascii="Times New Roman" w:hAnsi="Times New Roman" w:cs="Times New Roman"/>
          <w:sz w:val="20"/>
          <w:szCs w:val="20"/>
          <w:lang w:val="en-US"/>
        </w:rPr>
        <w:t>)</w:t>
      </w:r>
      <w:r w:rsidR="00925D3B" w:rsidRPr="008F23CC">
        <w:rPr>
          <w:rFonts w:ascii="Times New Roman" w:hAnsi="Times New Roman" w:cs="Times New Roman"/>
          <w:iCs/>
          <w:sz w:val="20"/>
          <w:szCs w:val="20"/>
          <w:lang w:val="en-US"/>
        </w:rPr>
        <w:t xml:space="preserve"> </w:t>
      </w:r>
      <w:r w:rsidRPr="008F23CC">
        <w:rPr>
          <w:rFonts w:ascii="Times New Roman" w:hAnsi="Times New Roman" w:cs="Times New Roman"/>
          <w:iCs/>
          <w:sz w:val="20"/>
          <w:szCs w:val="20"/>
          <w:lang w:val="en-US"/>
        </w:rPr>
        <w:t xml:space="preserve">have </w:t>
      </w:r>
      <w:r w:rsidR="00925D3B">
        <w:rPr>
          <w:rFonts w:ascii="Times New Roman" w:hAnsi="Times New Roman" w:cs="Times New Roman"/>
          <w:iCs/>
          <w:sz w:val="20"/>
          <w:szCs w:val="20"/>
          <w:lang w:val="en-US"/>
        </w:rPr>
        <w:t xml:space="preserve">also </w:t>
      </w:r>
      <w:r w:rsidRPr="008F23CC">
        <w:rPr>
          <w:rFonts w:ascii="Times New Roman" w:hAnsi="Times New Roman" w:cs="Times New Roman"/>
          <w:iCs/>
          <w:sz w:val="20"/>
          <w:szCs w:val="20"/>
          <w:lang w:val="en-US"/>
        </w:rPr>
        <w:t xml:space="preserve">been built </w:t>
      </w:r>
      <w:r w:rsidR="00C148D3">
        <w:rPr>
          <w:rFonts w:ascii="Times New Roman" w:hAnsi="Times New Roman" w:cs="Times New Roman"/>
          <w:iCs/>
          <w:sz w:val="20"/>
          <w:szCs w:val="20"/>
          <w:lang w:val="en-US"/>
        </w:rPr>
        <w:t>[30-33]</w:t>
      </w:r>
      <w:r w:rsidRPr="008F23CC">
        <w:rPr>
          <w:rFonts w:ascii="Times New Roman" w:hAnsi="Times New Roman" w:cs="Times New Roman"/>
          <w:iCs/>
          <w:sz w:val="20"/>
          <w:szCs w:val="20"/>
          <w:lang w:val="en-US"/>
        </w:rPr>
        <w:t>.</w:t>
      </w:r>
      <w:r w:rsidR="00925D3B">
        <w:rPr>
          <w:rFonts w:ascii="Times New Roman" w:hAnsi="Times New Roman" w:cs="Times New Roman"/>
          <w:iCs/>
          <w:sz w:val="20"/>
          <w:szCs w:val="20"/>
          <w:lang w:val="en-US"/>
        </w:rPr>
        <w:t xml:space="preserve"> </w:t>
      </w:r>
      <w:r w:rsidR="000F2168" w:rsidRPr="008F23CC">
        <w:rPr>
          <w:rFonts w:ascii="Times New Roman" w:hAnsi="Times New Roman" w:cs="Times New Roman"/>
          <w:sz w:val="20"/>
          <w:szCs w:val="20"/>
          <w:lang w:val="en-US"/>
        </w:rPr>
        <w:t>Lifetimes of 5 years with &gt;</w:t>
      </w:r>
      <w:r w:rsidR="00AD19B9">
        <w:rPr>
          <w:rFonts w:ascii="Times New Roman" w:hAnsi="Times New Roman" w:cs="Times New Roman"/>
          <w:sz w:val="20"/>
          <w:szCs w:val="20"/>
          <w:lang w:val="en-US"/>
        </w:rPr>
        <w:t xml:space="preserve"> </w:t>
      </w:r>
      <w:r w:rsidR="000F2168" w:rsidRPr="008F23CC">
        <w:rPr>
          <w:rFonts w:ascii="Times New Roman" w:hAnsi="Times New Roman" w:cs="Times New Roman"/>
          <w:sz w:val="20"/>
          <w:szCs w:val="20"/>
          <w:lang w:val="en-US"/>
        </w:rPr>
        <w:t>95</w:t>
      </w:r>
      <w:r w:rsidR="00AD19B9">
        <w:rPr>
          <w:rFonts w:ascii="Times New Roman" w:hAnsi="Times New Roman" w:cs="Times New Roman"/>
          <w:sz w:val="20"/>
          <w:szCs w:val="20"/>
          <w:lang w:val="en-US"/>
        </w:rPr>
        <w:t xml:space="preserve"> </w:t>
      </w:r>
      <w:r w:rsidR="000F2168" w:rsidRPr="008F23CC">
        <w:rPr>
          <w:rFonts w:ascii="Times New Roman" w:hAnsi="Times New Roman" w:cs="Times New Roman"/>
          <w:sz w:val="20"/>
          <w:szCs w:val="20"/>
          <w:lang w:val="en-US"/>
        </w:rPr>
        <w:t xml:space="preserve">% </w:t>
      </w:r>
      <w:r w:rsidR="00925D3B">
        <w:rPr>
          <w:rFonts w:ascii="Times New Roman" w:hAnsi="Times New Roman" w:cs="Times New Roman"/>
          <w:sz w:val="20"/>
          <w:szCs w:val="20"/>
          <w:lang w:val="en-US"/>
        </w:rPr>
        <w:t>durability</w:t>
      </w:r>
      <w:r w:rsidR="000F2168" w:rsidRPr="008F23CC">
        <w:rPr>
          <w:rFonts w:ascii="Times New Roman" w:hAnsi="Times New Roman" w:cs="Times New Roman"/>
          <w:sz w:val="20"/>
          <w:szCs w:val="20"/>
          <w:lang w:val="en-US"/>
        </w:rPr>
        <w:t xml:space="preserve"> have been demonstrated [</w:t>
      </w:r>
      <w:r w:rsidR="00C148D3">
        <w:rPr>
          <w:rFonts w:ascii="Times New Roman" w:hAnsi="Times New Roman" w:cs="Times New Roman"/>
          <w:sz w:val="20"/>
          <w:szCs w:val="20"/>
          <w:lang w:val="en-US"/>
        </w:rPr>
        <w:t>34</w:t>
      </w:r>
      <w:r w:rsidR="000F2168" w:rsidRPr="008F23CC">
        <w:rPr>
          <w:rFonts w:ascii="Times New Roman" w:hAnsi="Times New Roman" w:cs="Times New Roman"/>
          <w:sz w:val="20"/>
          <w:szCs w:val="20"/>
          <w:lang w:val="en-US"/>
        </w:rPr>
        <w:t xml:space="preserve">]. </w:t>
      </w:r>
      <w:r w:rsidR="00FF13B4" w:rsidRPr="008F23CC">
        <w:rPr>
          <w:rFonts w:ascii="Times New Roman" w:hAnsi="Times New Roman" w:cs="Times New Roman"/>
          <w:sz w:val="20"/>
          <w:szCs w:val="20"/>
          <w:lang w:val="en-US"/>
        </w:rPr>
        <w:t xml:space="preserve">Phosphoric acid electrode/electrolyte technology has reached of maturity. However, further increases in power density and reduced cost are needed to achieve economic competitiveness </w:t>
      </w:r>
      <w:r w:rsidR="00C148D3">
        <w:rPr>
          <w:rFonts w:ascii="Times New Roman" w:hAnsi="Times New Roman" w:cs="Times New Roman"/>
          <w:sz w:val="20"/>
          <w:szCs w:val="20"/>
          <w:lang w:val="en-US"/>
        </w:rPr>
        <w:t>[1]</w:t>
      </w:r>
      <w:r w:rsidR="00FF13B4" w:rsidRPr="008F23CC">
        <w:rPr>
          <w:rFonts w:ascii="Times New Roman" w:hAnsi="Times New Roman" w:cs="Times New Roman"/>
          <w:sz w:val="20"/>
          <w:szCs w:val="20"/>
          <w:lang w:val="en-US"/>
        </w:rPr>
        <w:t xml:space="preserve">. </w:t>
      </w:r>
    </w:p>
    <w:p w:rsidR="00FF13B4" w:rsidRDefault="00AD19B9" w:rsidP="005D1490">
      <w:pPr>
        <w:autoSpaceDE w:val="0"/>
        <w:autoSpaceDN w:val="0"/>
        <w:adjustRightInd w:val="0"/>
        <w:spacing w:after="0" w:line="240" w:lineRule="auto"/>
        <w:ind w:firstLine="426"/>
        <w:jc w:val="both"/>
        <w:rPr>
          <w:rFonts w:ascii="Times New Roman" w:hAnsi="Times New Roman" w:cs="Times New Roman"/>
          <w:sz w:val="20"/>
          <w:szCs w:val="20"/>
          <w:lang w:val="en-US"/>
        </w:rPr>
      </w:pPr>
      <w:r>
        <w:rPr>
          <w:rFonts w:ascii="Times New Roman" w:hAnsi="Times New Roman" w:cs="Times New Roman"/>
          <w:sz w:val="20"/>
          <w:szCs w:val="20"/>
          <w:lang w:val="en-US"/>
        </w:rPr>
        <w:t>C</w:t>
      </w:r>
      <w:r w:rsidRPr="008F23CC">
        <w:rPr>
          <w:rFonts w:ascii="Times New Roman" w:hAnsi="Times New Roman" w:cs="Times New Roman"/>
          <w:sz w:val="20"/>
          <w:szCs w:val="20"/>
          <w:lang w:val="en-US"/>
        </w:rPr>
        <w:t xml:space="preserve">oncentrated </w:t>
      </w:r>
      <w:r>
        <w:rPr>
          <w:rFonts w:ascii="Times New Roman" w:hAnsi="Times New Roman" w:cs="Times New Roman"/>
          <w:sz w:val="20"/>
          <w:szCs w:val="20"/>
          <w:lang w:val="en-US"/>
        </w:rPr>
        <w:t>(up to 100%)</w:t>
      </w:r>
      <w:r w:rsidRPr="008F23CC">
        <w:rPr>
          <w:rFonts w:ascii="Times New Roman" w:hAnsi="Times New Roman" w:cs="Times New Roman"/>
          <w:sz w:val="20"/>
          <w:szCs w:val="20"/>
          <w:lang w:val="en-US"/>
        </w:rPr>
        <w:t xml:space="preserve"> </w:t>
      </w:r>
      <w:r>
        <w:rPr>
          <w:rFonts w:ascii="Times New Roman" w:hAnsi="Times New Roman" w:cs="Times New Roman"/>
          <w:sz w:val="20"/>
          <w:szCs w:val="20"/>
          <w:lang w:val="en-US"/>
        </w:rPr>
        <w:t>H</w:t>
      </w:r>
      <w:r w:rsidRPr="00AD19B9">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PO</w:t>
      </w:r>
      <w:r w:rsidRPr="00AD19B9">
        <w:rPr>
          <w:rFonts w:ascii="Times New Roman" w:hAnsi="Times New Roman" w:cs="Times New Roman"/>
          <w:sz w:val="20"/>
          <w:szCs w:val="20"/>
          <w:vertAlign w:val="subscript"/>
          <w:lang w:val="en-US"/>
        </w:rPr>
        <w:t>4</w:t>
      </w:r>
      <w:r w:rsidR="00A60A90" w:rsidRPr="008F23CC">
        <w:rPr>
          <w:rFonts w:ascii="Times New Roman" w:hAnsi="Times New Roman" w:cs="Times New Roman"/>
          <w:sz w:val="20"/>
          <w:szCs w:val="20"/>
          <w:lang w:val="en-US"/>
        </w:rPr>
        <w:t xml:space="preserve"> </w:t>
      </w:r>
      <w:r w:rsidR="00FF13B4">
        <w:rPr>
          <w:rFonts w:ascii="Times New Roman" w:hAnsi="Times New Roman" w:cs="Times New Roman"/>
          <w:sz w:val="20"/>
          <w:szCs w:val="20"/>
          <w:lang w:val="en-US"/>
        </w:rPr>
        <w:t>in</w:t>
      </w:r>
      <w:r w:rsidR="00FF13B4" w:rsidRPr="008F23CC">
        <w:rPr>
          <w:rFonts w:ascii="Times New Roman" w:hAnsi="Times New Roman" w:cs="Times New Roman"/>
          <w:sz w:val="20"/>
          <w:szCs w:val="20"/>
          <w:lang w:val="en-US"/>
        </w:rPr>
        <w:t xml:space="preserve"> silicon carbide m</w:t>
      </w:r>
      <w:r w:rsidR="00FF13B4">
        <w:rPr>
          <w:rFonts w:ascii="Times New Roman" w:hAnsi="Times New Roman" w:cs="Times New Roman"/>
          <w:sz w:val="20"/>
          <w:szCs w:val="20"/>
          <w:lang w:val="en-US"/>
        </w:rPr>
        <w:t xml:space="preserve">atrix, </w:t>
      </w:r>
      <w:r w:rsidR="00A60A90" w:rsidRPr="008F23CC">
        <w:rPr>
          <w:rFonts w:ascii="Times New Roman" w:hAnsi="Times New Roman" w:cs="Times New Roman"/>
          <w:sz w:val="20"/>
          <w:szCs w:val="20"/>
          <w:lang w:val="en-US"/>
        </w:rPr>
        <w:t xml:space="preserve">is the proton conducting electrolyte. The relative stability of concentrated </w:t>
      </w:r>
      <w:r>
        <w:rPr>
          <w:rFonts w:ascii="Times New Roman" w:hAnsi="Times New Roman" w:cs="Times New Roman"/>
          <w:sz w:val="20"/>
          <w:szCs w:val="20"/>
          <w:lang w:val="en-US"/>
        </w:rPr>
        <w:t>H</w:t>
      </w:r>
      <w:r w:rsidRPr="00AD19B9">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PO</w:t>
      </w:r>
      <w:r w:rsidRPr="00AD19B9">
        <w:rPr>
          <w:rFonts w:ascii="Times New Roman" w:hAnsi="Times New Roman" w:cs="Times New Roman"/>
          <w:sz w:val="20"/>
          <w:szCs w:val="20"/>
          <w:vertAlign w:val="subscript"/>
          <w:lang w:val="en-US"/>
        </w:rPr>
        <w:t>4</w:t>
      </w:r>
      <w:r w:rsidRPr="00AD19B9">
        <w:rPr>
          <w:rFonts w:ascii="Times New Roman" w:hAnsi="Times New Roman" w:cs="Times New Roman"/>
          <w:sz w:val="20"/>
          <w:szCs w:val="20"/>
          <w:lang w:val="en-US"/>
        </w:rPr>
        <w:t xml:space="preserve"> </w:t>
      </w:r>
      <w:r w:rsidR="00A60A90" w:rsidRPr="008F23CC">
        <w:rPr>
          <w:rFonts w:ascii="Times New Roman" w:hAnsi="Times New Roman" w:cs="Times New Roman"/>
          <w:sz w:val="20"/>
          <w:szCs w:val="20"/>
          <w:lang w:val="en-US"/>
        </w:rPr>
        <w:t xml:space="preserve">is high, enabling PAFCs to operate at temperatures up to 220°C. Common systems operate between 150 and 220°C, because at lower temperatures, </w:t>
      </w:r>
      <w:r>
        <w:rPr>
          <w:rFonts w:ascii="Times New Roman" w:hAnsi="Times New Roman" w:cs="Times New Roman"/>
          <w:sz w:val="20"/>
          <w:szCs w:val="20"/>
          <w:lang w:val="en-US"/>
        </w:rPr>
        <w:t>H</w:t>
      </w:r>
      <w:r w:rsidRPr="00AD19B9">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PO</w:t>
      </w:r>
      <w:r w:rsidRPr="00AD19B9">
        <w:rPr>
          <w:rFonts w:ascii="Times New Roman" w:hAnsi="Times New Roman" w:cs="Times New Roman"/>
          <w:sz w:val="20"/>
          <w:szCs w:val="20"/>
          <w:vertAlign w:val="subscript"/>
          <w:lang w:val="en-US"/>
        </w:rPr>
        <w:t>4</w:t>
      </w:r>
      <w:r>
        <w:rPr>
          <w:rFonts w:ascii="Times New Roman" w:hAnsi="Times New Roman" w:cs="Times New Roman"/>
          <w:sz w:val="20"/>
          <w:szCs w:val="20"/>
          <w:vertAlign w:val="subscript"/>
          <w:lang w:val="en-US"/>
        </w:rPr>
        <w:t xml:space="preserve"> </w:t>
      </w:r>
      <w:r w:rsidR="00A60A90" w:rsidRPr="008F23CC">
        <w:rPr>
          <w:rFonts w:ascii="Times New Roman" w:hAnsi="Times New Roman" w:cs="Times New Roman"/>
          <w:sz w:val="20"/>
          <w:szCs w:val="20"/>
          <w:lang w:val="en-US"/>
        </w:rPr>
        <w:t xml:space="preserve">is a poor ionic conductor, and CO poisoning of the Pt anodic electrocatalyst </w:t>
      </w:r>
      <w:r>
        <w:rPr>
          <w:rFonts w:ascii="Times New Roman" w:hAnsi="Times New Roman" w:cs="Times New Roman"/>
          <w:sz w:val="20"/>
          <w:szCs w:val="20"/>
          <w:lang w:val="en-US"/>
        </w:rPr>
        <w:t>is</w:t>
      </w:r>
      <w:r w:rsidR="00A60A90" w:rsidRPr="008F23CC">
        <w:rPr>
          <w:rFonts w:ascii="Times New Roman" w:hAnsi="Times New Roman" w:cs="Times New Roman"/>
          <w:sz w:val="20"/>
          <w:szCs w:val="20"/>
          <w:lang w:val="en-US"/>
        </w:rPr>
        <w:t xml:space="preserve"> severe. </w:t>
      </w:r>
      <w:r w:rsidR="00FF13B4" w:rsidRPr="008F23CC">
        <w:rPr>
          <w:rFonts w:ascii="Times New Roman" w:hAnsi="Times New Roman" w:cs="Times New Roman"/>
          <w:sz w:val="20"/>
          <w:szCs w:val="20"/>
          <w:lang w:val="en-US"/>
        </w:rPr>
        <w:t xml:space="preserve">The electrolyte vaporizes </w:t>
      </w:r>
      <w:r w:rsidR="00335399">
        <w:rPr>
          <w:rFonts w:ascii="Times New Roman" w:hAnsi="Times New Roman" w:cs="Times New Roman"/>
          <w:sz w:val="20"/>
          <w:szCs w:val="20"/>
          <w:lang w:val="en-US"/>
        </w:rPr>
        <w:t>and</w:t>
      </w:r>
      <w:r w:rsidR="00FF13B4" w:rsidRPr="008F23CC">
        <w:rPr>
          <w:rFonts w:ascii="Times New Roman" w:hAnsi="Times New Roman" w:cs="Times New Roman"/>
          <w:sz w:val="20"/>
          <w:szCs w:val="20"/>
          <w:lang w:val="en-US"/>
        </w:rPr>
        <w:t xml:space="preserve"> a portion of H</w:t>
      </w:r>
      <w:r w:rsidR="00FF13B4" w:rsidRPr="00CE2EC6">
        <w:rPr>
          <w:rFonts w:ascii="Times New Roman" w:hAnsi="Times New Roman" w:cs="Times New Roman"/>
          <w:sz w:val="20"/>
          <w:szCs w:val="20"/>
          <w:vertAlign w:val="subscript"/>
          <w:lang w:val="en-US"/>
        </w:rPr>
        <w:t>3</w:t>
      </w:r>
      <w:r w:rsidR="00FF13B4" w:rsidRPr="008F23CC">
        <w:rPr>
          <w:rFonts w:ascii="Times New Roman" w:hAnsi="Times New Roman" w:cs="Times New Roman"/>
          <w:sz w:val="20"/>
          <w:szCs w:val="20"/>
          <w:lang w:val="en-US"/>
        </w:rPr>
        <w:t>PO</w:t>
      </w:r>
      <w:r w:rsidR="00FF13B4" w:rsidRPr="00CE2EC6">
        <w:rPr>
          <w:rFonts w:ascii="Times New Roman" w:hAnsi="Times New Roman" w:cs="Times New Roman"/>
          <w:sz w:val="20"/>
          <w:szCs w:val="20"/>
          <w:vertAlign w:val="subscript"/>
          <w:lang w:val="en-US"/>
        </w:rPr>
        <w:t>4</w:t>
      </w:r>
      <w:r w:rsidR="00FF13B4" w:rsidRPr="008F23CC">
        <w:rPr>
          <w:rFonts w:ascii="Times New Roman" w:hAnsi="Times New Roman" w:cs="Times New Roman"/>
          <w:sz w:val="20"/>
          <w:szCs w:val="20"/>
          <w:lang w:val="en-US"/>
        </w:rPr>
        <w:t xml:space="preserve"> escapes in the air stream.</w:t>
      </w:r>
      <w:r w:rsidR="00FF13B4">
        <w:rPr>
          <w:rFonts w:ascii="Times New Roman" w:hAnsi="Times New Roman" w:cs="Times New Roman"/>
          <w:sz w:val="20"/>
          <w:szCs w:val="20"/>
          <w:lang w:val="en-US"/>
        </w:rPr>
        <w:t xml:space="preserve"> </w:t>
      </w:r>
      <w:r w:rsidR="00A60A90" w:rsidRPr="008F23CC">
        <w:rPr>
          <w:rFonts w:ascii="Times New Roman" w:hAnsi="Times New Roman" w:cs="Times New Roman"/>
          <w:sz w:val="20"/>
          <w:szCs w:val="20"/>
          <w:lang w:val="en-US"/>
        </w:rPr>
        <w:t xml:space="preserve">The use of concentrated acid minimizes the water vapor pressure and water management becomes easy. </w:t>
      </w:r>
      <w:r w:rsidR="00FF13B4" w:rsidRPr="008F23CC">
        <w:rPr>
          <w:rFonts w:ascii="Times New Roman" w:hAnsi="Times New Roman" w:cs="Times New Roman"/>
          <w:sz w:val="20"/>
          <w:szCs w:val="20"/>
          <w:lang w:val="en-US"/>
        </w:rPr>
        <w:t xml:space="preserve">An electrolyte reservoir plate, made of porous graphite, </w:t>
      </w:r>
      <w:r w:rsidR="00335399">
        <w:rPr>
          <w:rFonts w:ascii="Times New Roman" w:hAnsi="Times New Roman" w:cs="Times New Roman"/>
          <w:sz w:val="20"/>
          <w:szCs w:val="20"/>
          <w:lang w:val="en-US"/>
        </w:rPr>
        <w:t xml:space="preserve">can also be used to replenish </w:t>
      </w:r>
      <w:r w:rsidR="00FF13B4" w:rsidRPr="008F23CC">
        <w:rPr>
          <w:rFonts w:ascii="Times New Roman" w:hAnsi="Times New Roman" w:cs="Times New Roman"/>
          <w:sz w:val="20"/>
          <w:szCs w:val="20"/>
          <w:lang w:val="en-US"/>
        </w:rPr>
        <w:t>H</w:t>
      </w:r>
      <w:r w:rsidR="00FF13B4" w:rsidRPr="00CE2EC6">
        <w:rPr>
          <w:rFonts w:ascii="Times New Roman" w:hAnsi="Times New Roman" w:cs="Times New Roman"/>
          <w:sz w:val="20"/>
          <w:szCs w:val="20"/>
          <w:vertAlign w:val="subscript"/>
          <w:lang w:val="en-US"/>
        </w:rPr>
        <w:t>3</w:t>
      </w:r>
      <w:r w:rsidR="00FF13B4" w:rsidRPr="008F23CC">
        <w:rPr>
          <w:rFonts w:ascii="Times New Roman" w:hAnsi="Times New Roman" w:cs="Times New Roman"/>
          <w:sz w:val="20"/>
          <w:szCs w:val="20"/>
          <w:lang w:val="en-US"/>
        </w:rPr>
        <w:t>PO</w:t>
      </w:r>
      <w:r w:rsidR="00FF13B4" w:rsidRPr="00CE2EC6">
        <w:rPr>
          <w:rFonts w:ascii="Times New Roman" w:hAnsi="Times New Roman" w:cs="Times New Roman"/>
          <w:sz w:val="20"/>
          <w:szCs w:val="20"/>
          <w:vertAlign w:val="subscript"/>
          <w:lang w:val="en-US"/>
        </w:rPr>
        <w:t>4</w:t>
      </w:r>
      <w:r w:rsidR="00335399">
        <w:rPr>
          <w:rFonts w:ascii="Times New Roman" w:hAnsi="Times New Roman" w:cs="Times New Roman"/>
          <w:sz w:val="20"/>
          <w:szCs w:val="20"/>
          <w:lang w:val="en-US"/>
        </w:rPr>
        <w:t xml:space="preserve">, </w:t>
      </w:r>
      <w:r w:rsidR="00FF13B4" w:rsidRPr="008F23CC">
        <w:rPr>
          <w:rFonts w:ascii="Times New Roman" w:hAnsi="Times New Roman" w:cs="Times New Roman"/>
          <w:sz w:val="20"/>
          <w:szCs w:val="20"/>
          <w:lang w:val="en-US"/>
        </w:rPr>
        <w:t>to</w:t>
      </w:r>
      <w:r w:rsidR="00335399">
        <w:rPr>
          <w:rFonts w:ascii="Times New Roman" w:hAnsi="Times New Roman" w:cs="Times New Roman"/>
          <w:sz w:val="20"/>
          <w:szCs w:val="20"/>
          <w:lang w:val="en-US"/>
        </w:rPr>
        <w:t>wards</w:t>
      </w:r>
      <w:r w:rsidR="00FF13B4" w:rsidRPr="008F23CC">
        <w:rPr>
          <w:rFonts w:ascii="Times New Roman" w:hAnsi="Times New Roman" w:cs="Times New Roman"/>
          <w:sz w:val="20"/>
          <w:szCs w:val="20"/>
          <w:lang w:val="en-US"/>
        </w:rPr>
        <w:t xml:space="preserve"> achieve a </w:t>
      </w:r>
      <w:r w:rsidR="00335399" w:rsidRPr="008F23CC">
        <w:rPr>
          <w:rFonts w:ascii="Times New Roman" w:hAnsi="Times New Roman" w:cs="Times New Roman"/>
          <w:sz w:val="20"/>
          <w:szCs w:val="20"/>
          <w:lang w:val="en-US"/>
        </w:rPr>
        <w:t xml:space="preserve">goal </w:t>
      </w:r>
      <w:r w:rsidR="00335399">
        <w:rPr>
          <w:rFonts w:ascii="Times New Roman" w:hAnsi="Times New Roman" w:cs="Times New Roman"/>
          <w:sz w:val="20"/>
          <w:szCs w:val="20"/>
          <w:lang w:val="en-US"/>
        </w:rPr>
        <w:t>of 5 - year</w:t>
      </w:r>
      <w:r w:rsidR="00FF13B4" w:rsidRPr="008F23CC">
        <w:rPr>
          <w:rFonts w:ascii="Times New Roman" w:hAnsi="Times New Roman" w:cs="Times New Roman"/>
          <w:sz w:val="20"/>
          <w:szCs w:val="20"/>
          <w:lang w:val="en-US"/>
        </w:rPr>
        <w:t xml:space="preserve"> cell life</w:t>
      </w:r>
      <w:r w:rsidR="00335399">
        <w:rPr>
          <w:rFonts w:ascii="Times New Roman" w:hAnsi="Times New Roman" w:cs="Times New Roman"/>
          <w:sz w:val="20"/>
          <w:szCs w:val="20"/>
          <w:lang w:val="en-US"/>
        </w:rPr>
        <w:t>time</w:t>
      </w:r>
      <w:r w:rsidR="00FF13B4" w:rsidRPr="008F23CC">
        <w:rPr>
          <w:rFonts w:ascii="Times New Roman" w:hAnsi="Times New Roman" w:cs="Times New Roman"/>
          <w:sz w:val="20"/>
          <w:szCs w:val="20"/>
          <w:lang w:val="en-US"/>
        </w:rPr>
        <w:t xml:space="preserve">. </w:t>
      </w:r>
    </w:p>
    <w:p w:rsidR="00CE2EC6" w:rsidRDefault="00F36B66" w:rsidP="005D1490">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Pt supported on carbon black </w:t>
      </w:r>
      <w:r w:rsidR="00925D3B">
        <w:rPr>
          <w:rFonts w:ascii="Times New Roman" w:hAnsi="Times New Roman" w:cs="Times New Roman"/>
          <w:sz w:val="20"/>
          <w:szCs w:val="20"/>
          <w:lang w:val="en-US"/>
        </w:rPr>
        <w:t>is the state of art</w:t>
      </w:r>
      <w:r w:rsidR="00F90DF1">
        <w:rPr>
          <w:rFonts w:ascii="Times New Roman" w:hAnsi="Times New Roman" w:cs="Times New Roman"/>
          <w:sz w:val="20"/>
          <w:szCs w:val="20"/>
          <w:lang w:val="en-US"/>
        </w:rPr>
        <w:t xml:space="preserve"> electrocatalyst, with</w:t>
      </w:r>
      <w:r w:rsidRPr="008F23CC">
        <w:rPr>
          <w:rFonts w:ascii="Times New Roman" w:hAnsi="Times New Roman" w:cs="Times New Roman"/>
          <w:sz w:val="20"/>
          <w:szCs w:val="20"/>
          <w:lang w:val="en-US"/>
        </w:rPr>
        <w:t xml:space="preserve"> Pt loading</w:t>
      </w:r>
      <w:r w:rsidR="00F90DF1">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w:t>
      </w:r>
      <w:r w:rsidR="00F90DF1">
        <w:rPr>
          <w:rFonts w:ascii="Times New Roman" w:hAnsi="Times New Roman" w:cs="Times New Roman"/>
          <w:sz w:val="20"/>
          <w:szCs w:val="20"/>
          <w:lang w:val="en-US"/>
        </w:rPr>
        <w:t>of about 0.1 mg</w:t>
      </w:r>
      <w:r w:rsidRPr="008F23CC">
        <w:rPr>
          <w:rFonts w:ascii="Times New Roman" w:hAnsi="Times New Roman" w:cs="Times New Roman"/>
          <w:sz w:val="20"/>
          <w:szCs w:val="20"/>
          <w:lang w:val="en-US"/>
        </w:rPr>
        <w:t>/cm</w:t>
      </w:r>
      <w:r w:rsidRPr="00AD19B9">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in the anode and 0.50 mg Pt/cm</w:t>
      </w:r>
      <w:r w:rsidRPr="00AD19B9">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in the</w:t>
      </w:r>
      <w:r w:rsidR="00C61E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cathode.</w:t>
      </w:r>
      <w:r w:rsidR="00F90DF1">
        <w:rPr>
          <w:rFonts w:ascii="Times New Roman" w:hAnsi="Times New Roman" w:cs="Times New Roman"/>
          <w:sz w:val="20"/>
          <w:szCs w:val="20"/>
          <w:lang w:val="en-US"/>
        </w:rPr>
        <w:t xml:space="preserve"> </w:t>
      </w:r>
      <w:r w:rsidR="00335399" w:rsidRPr="008F23CC">
        <w:rPr>
          <w:rFonts w:ascii="Times New Roman" w:hAnsi="Times New Roman" w:cs="Times New Roman"/>
          <w:sz w:val="20"/>
          <w:szCs w:val="20"/>
          <w:lang w:val="en-US"/>
        </w:rPr>
        <w:t xml:space="preserve">Transition metal (e.g., iron, cobalt) organic macrocycles </w:t>
      </w:r>
      <w:r w:rsidR="00335399">
        <w:rPr>
          <w:rFonts w:ascii="Times New Roman" w:hAnsi="Times New Roman" w:cs="Times New Roman"/>
          <w:sz w:val="20"/>
          <w:szCs w:val="20"/>
          <w:lang w:val="en-US"/>
        </w:rPr>
        <w:t>(</w:t>
      </w:r>
      <w:r w:rsidR="00335399" w:rsidRPr="008F23CC">
        <w:rPr>
          <w:rFonts w:ascii="Times New Roman" w:hAnsi="Times New Roman" w:cs="Times New Roman"/>
          <w:sz w:val="20"/>
          <w:szCs w:val="20"/>
          <w:lang w:val="en-US"/>
        </w:rPr>
        <w:t>tetramethoxyphenylporphyrins</w:t>
      </w:r>
      <w:r w:rsidR="00335399">
        <w:rPr>
          <w:rFonts w:ascii="Times New Roman" w:hAnsi="Times New Roman" w:cs="Times New Roman"/>
          <w:sz w:val="20"/>
          <w:szCs w:val="20"/>
          <w:lang w:val="en-US"/>
        </w:rPr>
        <w:t xml:space="preserve">, </w:t>
      </w:r>
      <w:r w:rsidR="00335399" w:rsidRPr="008F23CC">
        <w:rPr>
          <w:rFonts w:ascii="Times New Roman" w:hAnsi="Times New Roman" w:cs="Times New Roman"/>
          <w:sz w:val="20"/>
          <w:szCs w:val="20"/>
          <w:lang w:val="en-US"/>
        </w:rPr>
        <w:t>phthalocyanines</w:t>
      </w:r>
      <w:r w:rsidR="00335399">
        <w:rPr>
          <w:rFonts w:ascii="Times New Roman" w:hAnsi="Times New Roman" w:cs="Times New Roman"/>
          <w:sz w:val="20"/>
          <w:szCs w:val="20"/>
          <w:lang w:val="en-US"/>
        </w:rPr>
        <w:t xml:space="preserve">,  </w:t>
      </w:r>
      <w:r w:rsidR="00335399" w:rsidRPr="008F23CC">
        <w:rPr>
          <w:rFonts w:ascii="Times New Roman" w:hAnsi="Times New Roman" w:cs="Times New Roman"/>
          <w:sz w:val="20"/>
          <w:szCs w:val="20"/>
          <w:lang w:val="en-US"/>
        </w:rPr>
        <w:t xml:space="preserve">tetraazaannulenes and tetraphenylporphyrins) </w:t>
      </w:r>
      <w:r w:rsidR="00335399">
        <w:rPr>
          <w:rFonts w:ascii="Times New Roman" w:hAnsi="Times New Roman" w:cs="Times New Roman"/>
          <w:sz w:val="20"/>
          <w:szCs w:val="20"/>
          <w:lang w:val="en-US"/>
        </w:rPr>
        <w:t>and</w:t>
      </w:r>
      <w:r w:rsidR="00335399" w:rsidRPr="008F23CC">
        <w:rPr>
          <w:rFonts w:ascii="Times New Roman" w:hAnsi="Times New Roman" w:cs="Times New Roman"/>
          <w:sz w:val="20"/>
          <w:szCs w:val="20"/>
          <w:lang w:val="en-US"/>
        </w:rPr>
        <w:t xml:space="preserve"> Pt alloy</w:t>
      </w:r>
      <w:r w:rsidR="00335399">
        <w:rPr>
          <w:rFonts w:ascii="Times New Roman" w:hAnsi="Times New Roman" w:cs="Times New Roman"/>
          <w:sz w:val="20"/>
          <w:szCs w:val="20"/>
          <w:lang w:val="en-US"/>
        </w:rPr>
        <w:t>s</w:t>
      </w:r>
      <w:r w:rsidR="00335399" w:rsidRPr="008F23CC">
        <w:rPr>
          <w:rFonts w:ascii="Times New Roman" w:hAnsi="Times New Roman" w:cs="Times New Roman"/>
          <w:sz w:val="20"/>
          <w:szCs w:val="20"/>
          <w:lang w:val="en-US"/>
        </w:rPr>
        <w:t xml:space="preserve"> with transition metals </w:t>
      </w:r>
      <w:r w:rsidR="00335399">
        <w:rPr>
          <w:rFonts w:ascii="Times New Roman" w:hAnsi="Times New Roman" w:cs="Times New Roman"/>
          <w:sz w:val="20"/>
          <w:szCs w:val="20"/>
          <w:lang w:val="en-US"/>
        </w:rPr>
        <w:t xml:space="preserve">(Ti, Cr, V, Zr), </w:t>
      </w:r>
      <w:r w:rsidR="00335399" w:rsidRPr="008F23CC">
        <w:rPr>
          <w:rFonts w:ascii="Times New Roman" w:hAnsi="Times New Roman" w:cs="Times New Roman"/>
          <w:sz w:val="20"/>
          <w:szCs w:val="20"/>
          <w:lang w:val="en-US"/>
        </w:rPr>
        <w:t xml:space="preserve">have been evaluated as </w:t>
      </w:r>
      <w:r w:rsidR="00335399">
        <w:rPr>
          <w:rFonts w:ascii="Times New Roman" w:hAnsi="Times New Roman" w:cs="Times New Roman"/>
          <w:sz w:val="20"/>
          <w:szCs w:val="20"/>
          <w:lang w:val="en-US"/>
        </w:rPr>
        <w:t>cathodic</w:t>
      </w:r>
      <w:r w:rsidR="00335399" w:rsidRPr="008F23CC">
        <w:rPr>
          <w:rFonts w:ascii="Times New Roman" w:hAnsi="Times New Roman" w:cs="Times New Roman"/>
          <w:sz w:val="20"/>
          <w:szCs w:val="20"/>
          <w:lang w:val="en-US"/>
        </w:rPr>
        <w:t xml:space="preserve"> </w:t>
      </w:r>
      <w:r w:rsidR="00C148D3">
        <w:rPr>
          <w:rFonts w:ascii="Times New Roman" w:hAnsi="Times New Roman" w:cs="Times New Roman"/>
          <w:sz w:val="20"/>
          <w:szCs w:val="20"/>
          <w:lang w:val="en-US"/>
        </w:rPr>
        <w:t>electrocatalysts</w:t>
      </w:r>
      <w:r w:rsidR="00335399"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electrodes contain a mixture of electrocatalyst and </w:t>
      </w:r>
      <w:r w:rsidR="00F90DF1">
        <w:rPr>
          <w:rFonts w:ascii="Times New Roman" w:hAnsi="Times New Roman" w:cs="Times New Roman"/>
          <w:sz w:val="20"/>
          <w:szCs w:val="20"/>
          <w:lang w:val="en-US"/>
        </w:rPr>
        <w:t xml:space="preserve">a </w:t>
      </w:r>
      <w:r w:rsidR="00F90DF1" w:rsidRPr="008F23CC">
        <w:rPr>
          <w:rFonts w:ascii="Times New Roman" w:hAnsi="Times New Roman" w:cs="Times New Roman"/>
          <w:sz w:val="20"/>
          <w:szCs w:val="20"/>
          <w:lang w:val="en-US"/>
        </w:rPr>
        <w:t xml:space="preserve">30 </w:t>
      </w:r>
      <w:r w:rsidR="00F90DF1">
        <w:rPr>
          <w:rFonts w:ascii="Times New Roman" w:hAnsi="Times New Roman" w:cs="Times New Roman"/>
          <w:sz w:val="20"/>
          <w:szCs w:val="20"/>
          <w:lang w:val="en-US"/>
        </w:rPr>
        <w:t>–</w:t>
      </w:r>
      <w:r w:rsidR="00F90DF1" w:rsidRPr="008F23CC">
        <w:rPr>
          <w:rFonts w:ascii="Times New Roman" w:hAnsi="Times New Roman" w:cs="Times New Roman"/>
          <w:sz w:val="20"/>
          <w:szCs w:val="20"/>
          <w:lang w:val="en-US"/>
        </w:rPr>
        <w:t xml:space="preserve"> 50</w:t>
      </w:r>
      <w:r w:rsidR="00F90DF1">
        <w:rPr>
          <w:rFonts w:ascii="Times New Roman" w:hAnsi="Times New Roman" w:cs="Times New Roman"/>
          <w:sz w:val="20"/>
          <w:szCs w:val="20"/>
          <w:lang w:val="en-US"/>
        </w:rPr>
        <w:t xml:space="preserve"> </w:t>
      </w:r>
      <w:r w:rsidR="00F90DF1" w:rsidRPr="008F23CC">
        <w:rPr>
          <w:rFonts w:ascii="Times New Roman" w:hAnsi="Times New Roman" w:cs="Times New Roman"/>
          <w:sz w:val="20"/>
          <w:szCs w:val="20"/>
          <w:lang w:val="en-US"/>
        </w:rPr>
        <w:t>wt%</w:t>
      </w:r>
      <w:r w:rsidRPr="008F23CC">
        <w:rPr>
          <w:rFonts w:ascii="Times New Roman" w:hAnsi="Times New Roman" w:cs="Times New Roman"/>
          <w:sz w:val="20"/>
          <w:szCs w:val="20"/>
          <w:lang w:val="en-US"/>
        </w:rPr>
        <w:t xml:space="preserve"> </w:t>
      </w:r>
      <w:r w:rsidR="00F90DF1" w:rsidRPr="008F23CC">
        <w:rPr>
          <w:rFonts w:ascii="Times New Roman" w:hAnsi="Times New Roman" w:cs="Times New Roman"/>
          <w:sz w:val="20"/>
          <w:szCs w:val="20"/>
          <w:lang w:val="en-US"/>
        </w:rPr>
        <w:t xml:space="preserve">PTFE </w:t>
      </w:r>
      <w:r w:rsidRPr="008F23CC">
        <w:rPr>
          <w:rFonts w:ascii="Times New Roman" w:hAnsi="Times New Roman" w:cs="Times New Roman"/>
          <w:sz w:val="20"/>
          <w:szCs w:val="20"/>
          <w:lang w:val="en-US"/>
        </w:rPr>
        <w:t>polymeric binder. The PTFE binds the carbon</w:t>
      </w:r>
      <w:r w:rsidR="00C61E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bla</w:t>
      </w:r>
      <w:r w:rsidR="00FF13B4">
        <w:rPr>
          <w:rFonts w:ascii="Times New Roman" w:hAnsi="Times New Roman" w:cs="Times New Roman"/>
          <w:sz w:val="20"/>
          <w:szCs w:val="20"/>
          <w:lang w:val="en-US"/>
        </w:rPr>
        <w:t>ck particles together to form a</w:t>
      </w:r>
      <w:r w:rsidRPr="008F23CC">
        <w:rPr>
          <w:rFonts w:ascii="Times New Roman" w:hAnsi="Times New Roman" w:cs="Times New Roman"/>
          <w:sz w:val="20"/>
          <w:szCs w:val="20"/>
          <w:lang w:val="en-US"/>
        </w:rPr>
        <w:t xml:space="preserve"> </w:t>
      </w:r>
      <w:r w:rsidR="00FF13B4">
        <w:rPr>
          <w:rFonts w:ascii="Times New Roman" w:hAnsi="Times New Roman" w:cs="Times New Roman"/>
          <w:sz w:val="20"/>
          <w:szCs w:val="20"/>
          <w:lang w:val="en-US"/>
        </w:rPr>
        <w:t>porous</w:t>
      </w:r>
      <w:r w:rsidRPr="008F23CC">
        <w:rPr>
          <w:rFonts w:ascii="Times New Roman" w:hAnsi="Times New Roman" w:cs="Times New Roman"/>
          <w:sz w:val="20"/>
          <w:szCs w:val="20"/>
          <w:lang w:val="en-US"/>
        </w:rPr>
        <w:t xml:space="preserve"> structure</w:t>
      </w:r>
      <w:r w:rsidR="00FF13B4">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r w:rsidR="00FF13B4">
        <w:rPr>
          <w:rFonts w:ascii="Times New Roman" w:hAnsi="Times New Roman" w:cs="Times New Roman"/>
          <w:sz w:val="20"/>
          <w:szCs w:val="20"/>
          <w:lang w:val="en-US"/>
        </w:rPr>
        <w:t>which</w:t>
      </w:r>
      <w:r w:rsidRPr="008F23CC">
        <w:rPr>
          <w:rFonts w:ascii="Times New Roman" w:hAnsi="Times New Roman" w:cs="Times New Roman"/>
          <w:sz w:val="20"/>
          <w:szCs w:val="20"/>
          <w:lang w:val="en-US"/>
        </w:rPr>
        <w:t xml:space="preserve"> is supported on a porous</w:t>
      </w:r>
      <w:r w:rsidR="00C61E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graphite substrate. </w:t>
      </w:r>
      <w:r w:rsidR="00FF13B4">
        <w:rPr>
          <w:rFonts w:ascii="Times New Roman" w:hAnsi="Times New Roman" w:cs="Times New Roman"/>
          <w:sz w:val="20"/>
          <w:szCs w:val="20"/>
          <w:lang w:val="en-US"/>
        </w:rPr>
        <w:t>The</w:t>
      </w:r>
      <w:r w:rsidRPr="008F23CC">
        <w:rPr>
          <w:rFonts w:ascii="Times New Roman" w:hAnsi="Times New Roman" w:cs="Times New Roman"/>
          <w:sz w:val="20"/>
          <w:szCs w:val="20"/>
          <w:lang w:val="en-US"/>
        </w:rPr>
        <w:t xml:space="preserve"> graphite </w:t>
      </w:r>
      <w:r w:rsidR="00FF13B4" w:rsidRPr="008F23CC">
        <w:rPr>
          <w:rFonts w:ascii="Times New Roman" w:hAnsi="Times New Roman" w:cs="Times New Roman"/>
          <w:sz w:val="20"/>
          <w:szCs w:val="20"/>
          <w:lang w:val="en-US"/>
        </w:rPr>
        <w:t>substrate</w:t>
      </w:r>
      <w:r w:rsidR="00AD19B9"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serves as a support for the electrocatalyst, </w:t>
      </w:r>
      <w:r w:rsidR="00AD19B9">
        <w:rPr>
          <w:rFonts w:ascii="Times New Roman" w:hAnsi="Times New Roman" w:cs="Times New Roman"/>
          <w:sz w:val="20"/>
          <w:szCs w:val="20"/>
          <w:lang w:val="en-US"/>
        </w:rPr>
        <w:t xml:space="preserve">and </w:t>
      </w:r>
      <w:r w:rsidRPr="008F23CC">
        <w:rPr>
          <w:rFonts w:ascii="Times New Roman" w:hAnsi="Times New Roman" w:cs="Times New Roman"/>
          <w:sz w:val="20"/>
          <w:szCs w:val="20"/>
          <w:lang w:val="en-US"/>
        </w:rPr>
        <w:t xml:space="preserve">as the current collector. </w:t>
      </w:r>
      <w:r w:rsidR="00CE2EC6">
        <w:rPr>
          <w:rFonts w:ascii="Times New Roman" w:hAnsi="Times New Roman" w:cs="Times New Roman"/>
          <w:sz w:val="20"/>
          <w:szCs w:val="20"/>
          <w:lang w:val="en-US"/>
        </w:rPr>
        <w:t>B</w:t>
      </w:r>
      <w:r w:rsidRPr="008F23CC">
        <w:rPr>
          <w:rFonts w:ascii="Times New Roman" w:hAnsi="Times New Roman" w:cs="Times New Roman"/>
          <w:sz w:val="20"/>
          <w:szCs w:val="20"/>
          <w:lang w:val="en-US"/>
        </w:rPr>
        <w:t>ipolar plate</w:t>
      </w:r>
      <w:r w:rsidR="00CE2EC6">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separate the individual cells and </w:t>
      </w:r>
      <w:r w:rsidR="00CE2EC6" w:rsidRPr="008F23CC">
        <w:rPr>
          <w:rFonts w:ascii="Times New Roman" w:hAnsi="Times New Roman" w:cs="Times New Roman"/>
          <w:sz w:val="20"/>
          <w:szCs w:val="20"/>
          <w:lang w:val="en-US"/>
        </w:rPr>
        <w:t xml:space="preserve">connect them </w:t>
      </w:r>
      <w:r w:rsidRPr="008F23CC">
        <w:rPr>
          <w:rFonts w:ascii="Times New Roman" w:hAnsi="Times New Roman" w:cs="Times New Roman"/>
          <w:sz w:val="20"/>
          <w:szCs w:val="20"/>
          <w:lang w:val="en-US"/>
        </w:rPr>
        <w:t xml:space="preserve">electrically. </w:t>
      </w:r>
      <w:r w:rsidR="00CE2EC6">
        <w:rPr>
          <w:rFonts w:ascii="Times New Roman" w:hAnsi="Times New Roman" w:cs="Times New Roman"/>
          <w:sz w:val="20"/>
          <w:szCs w:val="20"/>
          <w:lang w:val="en-US"/>
        </w:rPr>
        <w:t>They are made of</w:t>
      </w:r>
      <w:r w:rsidR="00CE2EC6" w:rsidRPr="008F23CC">
        <w:rPr>
          <w:rFonts w:ascii="Times New Roman" w:hAnsi="Times New Roman" w:cs="Times New Roman"/>
          <w:sz w:val="20"/>
          <w:szCs w:val="20"/>
          <w:lang w:val="en-US"/>
        </w:rPr>
        <w:t xml:space="preserve"> graphite resin mixtures</w:t>
      </w:r>
      <w:r w:rsidR="00FF13B4">
        <w:rPr>
          <w:rFonts w:ascii="Times New Roman" w:hAnsi="Times New Roman" w:cs="Times New Roman"/>
          <w:sz w:val="20"/>
          <w:szCs w:val="20"/>
          <w:lang w:val="en-US"/>
        </w:rPr>
        <w:t xml:space="preserve">, </w:t>
      </w:r>
      <w:r w:rsidR="00CE2EC6" w:rsidRPr="008F23CC">
        <w:rPr>
          <w:rFonts w:ascii="Times New Roman" w:hAnsi="Times New Roman" w:cs="Times New Roman"/>
          <w:sz w:val="20"/>
          <w:szCs w:val="20"/>
          <w:lang w:val="en-US"/>
        </w:rPr>
        <w:t>carbonized at 2,700</w:t>
      </w:r>
      <w:r w:rsidR="00CE2EC6">
        <w:rPr>
          <w:rFonts w:ascii="Times New Roman" w:hAnsi="Times New Roman" w:cs="Times New Roman"/>
          <w:sz w:val="20"/>
          <w:szCs w:val="20"/>
          <w:lang w:val="en-US"/>
        </w:rPr>
        <w:t xml:space="preserve"> </w:t>
      </w:r>
      <w:r w:rsidR="00CE2EC6" w:rsidRPr="00CE2EC6">
        <w:rPr>
          <w:rFonts w:ascii="Times New Roman" w:hAnsi="Times New Roman" w:cs="Times New Roman"/>
          <w:sz w:val="20"/>
          <w:szCs w:val="20"/>
          <w:vertAlign w:val="superscript"/>
          <w:lang w:val="en-US"/>
        </w:rPr>
        <w:t>o</w:t>
      </w:r>
      <w:r w:rsidR="00CE2EC6" w:rsidRPr="008F23CC">
        <w:rPr>
          <w:rFonts w:ascii="Times New Roman" w:hAnsi="Times New Roman" w:cs="Times New Roman"/>
          <w:sz w:val="20"/>
          <w:szCs w:val="20"/>
          <w:lang w:val="en-US"/>
        </w:rPr>
        <w:t>C</w:t>
      </w:r>
      <w:r w:rsidR="00FF13B4">
        <w:rPr>
          <w:rFonts w:ascii="Times New Roman" w:hAnsi="Times New Roman" w:cs="Times New Roman"/>
          <w:sz w:val="20"/>
          <w:szCs w:val="20"/>
          <w:lang w:val="en-US"/>
        </w:rPr>
        <w:t>, which</w:t>
      </w:r>
      <w:r w:rsidR="00CE2EC6" w:rsidRPr="008F23CC">
        <w:rPr>
          <w:rFonts w:ascii="Times New Roman" w:hAnsi="Times New Roman" w:cs="Times New Roman"/>
          <w:sz w:val="20"/>
          <w:szCs w:val="20"/>
          <w:lang w:val="en-US"/>
        </w:rPr>
        <w:t xml:space="preserve"> are corrosion stab</w:t>
      </w:r>
      <w:r w:rsidR="00CE2EC6">
        <w:rPr>
          <w:rFonts w:ascii="Times New Roman" w:hAnsi="Times New Roman" w:cs="Times New Roman"/>
          <w:sz w:val="20"/>
          <w:szCs w:val="20"/>
          <w:lang w:val="en-US"/>
        </w:rPr>
        <w:t>le</w:t>
      </w:r>
      <w:r w:rsidR="00CE2EC6" w:rsidRPr="008F23CC">
        <w:rPr>
          <w:rFonts w:ascii="Times New Roman" w:hAnsi="Times New Roman" w:cs="Times New Roman"/>
          <w:sz w:val="20"/>
          <w:szCs w:val="20"/>
          <w:lang w:val="en-US"/>
        </w:rPr>
        <w:t xml:space="preserve"> in PAFC operating environments. </w:t>
      </w:r>
      <w:r w:rsidR="00F90DF1">
        <w:rPr>
          <w:rFonts w:ascii="Times New Roman" w:hAnsi="Times New Roman" w:cs="Times New Roman"/>
          <w:sz w:val="20"/>
          <w:szCs w:val="20"/>
          <w:lang w:val="en-US"/>
        </w:rPr>
        <w:t>T</w:t>
      </w:r>
      <w:r w:rsidRPr="008F23CC">
        <w:rPr>
          <w:rFonts w:ascii="Times New Roman" w:hAnsi="Times New Roman" w:cs="Times New Roman"/>
          <w:sz w:val="20"/>
          <w:szCs w:val="20"/>
          <w:lang w:val="en-US"/>
        </w:rPr>
        <w:t>he bipolar plate</w:t>
      </w:r>
      <w:r w:rsidR="00CE2EC6">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w:t>
      </w:r>
      <w:r w:rsidR="00CE2EC6">
        <w:rPr>
          <w:rFonts w:ascii="Times New Roman" w:hAnsi="Times New Roman" w:cs="Times New Roman"/>
          <w:sz w:val="20"/>
          <w:szCs w:val="20"/>
          <w:lang w:val="en-US"/>
        </w:rPr>
        <w:t>form</w:t>
      </w:r>
      <w:r w:rsidRPr="008F23CC">
        <w:rPr>
          <w:rFonts w:ascii="Times New Roman" w:hAnsi="Times New Roman" w:cs="Times New Roman"/>
          <w:sz w:val="20"/>
          <w:szCs w:val="20"/>
          <w:lang w:val="en-US"/>
        </w:rPr>
        <w:t xml:space="preserve"> gas channels that feed the reactant gases to</w:t>
      </w:r>
      <w:r w:rsidR="00C61E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porous electrodes and remove the products. </w:t>
      </w:r>
      <w:r w:rsidR="00FF13B4">
        <w:rPr>
          <w:rFonts w:ascii="Times New Roman" w:hAnsi="Times New Roman" w:cs="Times New Roman"/>
          <w:sz w:val="20"/>
          <w:szCs w:val="20"/>
          <w:lang w:val="en-US"/>
        </w:rPr>
        <w:t>G</w:t>
      </w:r>
      <w:r w:rsidRPr="008F23CC">
        <w:rPr>
          <w:rFonts w:ascii="Times New Roman" w:hAnsi="Times New Roman" w:cs="Times New Roman"/>
          <w:sz w:val="20"/>
          <w:szCs w:val="20"/>
          <w:lang w:val="en-US"/>
        </w:rPr>
        <w:t xml:space="preserve">raphite bipolar plates are sufficiently corrosion-resistant for </w:t>
      </w:r>
      <w:r w:rsidR="00FF13B4">
        <w:rPr>
          <w:rFonts w:ascii="Times New Roman" w:hAnsi="Times New Roman" w:cs="Times New Roman"/>
          <w:sz w:val="20"/>
          <w:szCs w:val="20"/>
          <w:lang w:val="en-US"/>
        </w:rPr>
        <w:t>lifetimes</w:t>
      </w:r>
      <w:r w:rsidRPr="008F23CC">
        <w:rPr>
          <w:rFonts w:ascii="Times New Roman" w:hAnsi="Times New Roman" w:cs="Times New Roman"/>
          <w:sz w:val="20"/>
          <w:szCs w:val="20"/>
          <w:lang w:val="en-US"/>
        </w:rPr>
        <w:t xml:space="preserve"> of</w:t>
      </w:r>
      <w:r w:rsidR="00C61E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40,000 hours. </w:t>
      </w:r>
      <w:r w:rsidR="00335399">
        <w:rPr>
          <w:rFonts w:ascii="Times New Roman" w:hAnsi="Times New Roman" w:cs="Times New Roman"/>
          <w:sz w:val="20"/>
          <w:szCs w:val="20"/>
          <w:lang w:val="en-US"/>
        </w:rPr>
        <w:t>G</w:t>
      </w:r>
      <w:r w:rsidR="00335399" w:rsidRPr="008F23CC">
        <w:rPr>
          <w:rFonts w:ascii="Times New Roman" w:hAnsi="Times New Roman" w:cs="Times New Roman"/>
          <w:sz w:val="20"/>
          <w:szCs w:val="20"/>
          <w:lang w:val="en-US"/>
        </w:rPr>
        <w:t xml:space="preserve">enerated </w:t>
      </w:r>
      <w:r w:rsidRPr="008F23CC">
        <w:rPr>
          <w:rFonts w:ascii="Times New Roman" w:hAnsi="Times New Roman" w:cs="Times New Roman"/>
          <w:sz w:val="20"/>
          <w:szCs w:val="20"/>
          <w:lang w:val="en-US"/>
        </w:rPr>
        <w:t xml:space="preserve">heat during </w:t>
      </w:r>
      <w:r w:rsidR="00335399">
        <w:rPr>
          <w:rFonts w:ascii="Times New Roman" w:hAnsi="Times New Roman" w:cs="Times New Roman"/>
          <w:sz w:val="20"/>
          <w:szCs w:val="20"/>
          <w:lang w:val="en-US"/>
        </w:rPr>
        <w:t>is</w:t>
      </w:r>
      <w:r w:rsidRPr="008F23CC">
        <w:rPr>
          <w:rFonts w:ascii="Times New Roman" w:hAnsi="Times New Roman" w:cs="Times New Roman"/>
          <w:sz w:val="20"/>
          <w:szCs w:val="20"/>
          <w:lang w:val="en-US"/>
        </w:rPr>
        <w:t xml:space="preserve"> removed by either liquid (two-phase water or a dielectric fluid) or </w:t>
      </w:r>
      <w:r w:rsidR="00335399">
        <w:rPr>
          <w:rFonts w:ascii="Times New Roman" w:hAnsi="Times New Roman" w:cs="Times New Roman"/>
          <w:sz w:val="20"/>
          <w:szCs w:val="20"/>
          <w:lang w:val="en-US"/>
        </w:rPr>
        <w:t>air</w:t>
      </w:r>
      <w:r w:rsidR="00712A6B"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coolants that are routed through cooling channels located every fifth cell in the</w:t>
      </w:r>
      <w:r w:rsidR="00712A6B"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stack. </w:t>
      </w:r>
    </w:p>
    <w:p w:rsidR="00F36B66" w:rsidRPr="008F23CC" w:rsidRDefault="00F36B66" w:rsidP="005D1490">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lastRenderedPageBreak/>
        <w:t>One of the major</w:t>
      </w:r>
      <w:r w:rsidR="005F7B42"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causes of </w:t>
      </w:r>
      <w:r w:rsidR="005D1490">
        <w:rPr>
          <w:rFonts w:ascii="Times New Roman" w:hAnsi="Times New Roman" w:cs="Times New Roman"/>
          <w:sz w:val="20"/>
          <w:szCs w:val="20"/>
          <w:lang w:val="en-US"/>
        </w:rPr>
        <w:t>degradation</w:t>
      </w:r>
      <w:r w:rsidRPr="008F23CC">
        <w:rPr>
          <w:rFonts w:ascii="Times New Roman" w:hAnsi="Times New Roman" w:cs="Times New Roman"/>
          <w:sz w:val="20"/>
          <w:szCs w:val="20"/>
          <w:lang w:val="en-US"/>
        </w:rPr>
        <w:t xml:space="preserve"> is </w:t>
      </w:r>
      <w:r w:rsidR="005D1490">
        <w:rPr>
          <w:rFonts w:ascii="Times New Roman" w:hAnsi="Times New Roman" w:cs="Times New Roman"/>
          <w:sz w:val="20"/>
          <w:szCs w:val="20"/>
          <w:lang w:val="en-US"/>
        </w:rPr>
        <w:t>the</w:t>
      </w:r>
      <w:r w:rsidRPr="008F23CC">
        <w:rPr>
          <w:rFonts w:ascii="Times New Roman" w:hAnsi="Times New Roman" w:cs="Times New Roman"/>
          <w:sz w:val="20"/>
          <w:szCs w:val="20"/>
          <w:lang w:val="en-US"/>
        </w:rPr>
        <w:t xml:space="preserve"> electrode flooding and drying, by</w:t>
      </w:r>
      <w:r w:rsidR="005F7B42" w:rsidRPr="008F23CC">
        <w:rPr>
          <w:rFonts w:ascii="Times New Roman" w:hAnsi="Times New Roman" w:cs="Times New Roman"/>
          <w:sz w:val="20"/>
          <w:szCs w:val="20"/>
          <w:lang w:val="en-US"/>
        </w:rPr>
        <w:t xml:space="preserve"> </w:t>
      </w:r>
      <w:r w:rsidR="005D1490">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migration of </w:t>
      </w:r>
      <w:r w:rsidR="005D1490">
        <w:rPr>
          <w:rFonts w:ascii="Times New Roman" w:hAnsi="Times New Roman" w:cs="Times New Roman"/>
          <w:sz w:val="20"/>
          <w:szCs w:val="20"/>
          <w:lang w:val="en-US"/>
        </w:rPr>
        <w:t>H</w:t>
      </w:r>
      <w:r w:rsidR="005D1490" w:rsidRPr="00AD19B9">
        <w:rPr>
          <w:rFonts w:ascii="Times New Roman" w:hAnsi="Times New Roman" w:cs="Times New Roman"/>
          <w:sz w:val="20"/>
          <w:szCs w:val="20"/>
          <w:vertAlign w:val="subscript"/>
          <w:lang w:val="en-US"/>
        </w:rPr>
        <w:t>3</w:t>
      </w:r>
      <w:r w:rsidR="005D1490">
        <w:rPr>
          <w:rFonts w:ascii="Times New Roman" w:hAnsi="Times New Roman" w:cs="Times New Roman"/>
          <w:sz w:val="20"/>
          <w:szCs w:val="20"/>
          <w:lang w:val="en-US"/>
        </w:rPr>
        <w:t>PO</w:t>
      </w:r>
      <w:r w:rsidR="005D1490" w:rsidRPr="00AD19B9">
        <w:rPr>
          <w:rFonts w:ascii="Times New Roman" w:hAnsi="Times New Roman" w:cs="Times New Roman"/>
          <w:sz w:val="20"/>
          <w:szCs w:val="20"/>
          <w:vertAlign w:val="subscript"/>
          <w:lang w:val="en-US"/>
        </w:rPr>
        <w:t>4</w:t>
      </w:r>
      <w:r w:rsidR="005D1490" w:rsidRPr="00AD19B9">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between the matrix and the electrodes,</w:t>
      </w:r>
      <w:r w:rsidR="005F7B42"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during cell load</w:t>
      </w:r>
      <w:r w:rsidR="005F7B42"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cycling. </w:t>
      </w:r>
      <w:r w:rsidR="005D1490">
        <w:rPr>
          <w:rFonts w:ascii="Times New Roman" w:hAnsi="Times New Roman" w:cs="Times New Roman"/>
          <w:sz w:val="20"/>
          <w:szCs w:val="20"/>
          <w:lang w:val="en-US"/>
        </w:rPr>
        <w:t>O</w:t>
      </w:r>
      <w:r w:rsidR="005D1490" w:rsidRPr="008F23CC">
        <w:rPr>
          <w:rFonts w:ascii="Times New Roman" w:hAnsi="Times New Roman" w:cs="Times New Roman"/>
          <w:sz w:val="20"/>
          <w:szCs w:val="20"/>
          <w:lang w:val="en-US"/>
        </w:rPr>
        <w:t xml:space="preserve">ptimized wettability </w:t>
      </w:r>
      <w:r w:rsidR="005D1490">
        <w:rPr>
          <w:rFonts w:ascii="Times New Roman" w:hAnsi="Times New Roman" w:cs="Times New Roman"/>
          <w:sz w:val="20"/>
          <w:szCs w:val="20"/>
          <w:lang w:val="en-US"/>
        </w:rPr>
        <w:t>and</w:t>
      </w:r>
      <w:r w:rsidR="005D1490" w:rsidRPr="008F23CC">
        <w:rPr>
          <w:rFonts w:ascii="Times New Roman" w:hAnsi="Times New Roman" w:cs="Times New Roman"/>
          <w:sz w:val="20"/>
          <w:szCs w:val="20"/>
          <w:lang w:val="en-US"/>
        </w:rPr>
        <w:t xml:space="preserve"> heat treatment </w:t>
      </w:r>
      <w:r w:rsidR="005D1490">
        <w:rPr>
          <w:rFonts w:ascii="Times New Roman" w:hAnsi="Times New Roman" w:cs="Times New Roman"/>
          <w:sz w:val="20"/>
          <w:szCs w:val="20"/>
          <w:lang w:val="en-US"/>
        </w:rPr>
        <w:t>of</w:t>
      </w:r>
      <w:r w:rsidR="005D1490" w:rsidRPr="008F23CC">
        <w:rPr>
          <w:rFonts w:ascii="Times New Roman" w:hAnsi="Times New Roman" w:cs="Times New Roman"/>
          <w:sz w:val="20"/>
          <w:szCs w:val="20"/>
          <w:lang w:val="en-US"/>
        </w:rPr>
        <w:t xml:space="preserve"> the cathod</w:t>
      </w:r>
      <w:r w:rsidR="005D1490">
        <w:rPr>
          <w:rFonts w:ascii="Times New Roman" w:hAnsi="Times New Roman" w:cs="Times New Roman"/>
          <w:sz w:val="20"/>
          <w:szCs w:val="20"/>
          <w:lang w:val="en-US"/>
        </w:rPr>
        <w:t>ic</w:t>
      </w:r>
      <w:r w:rsidR="005D1490" w:rsidRPr="008F23CC">
        <w:rPr>
          <w:rFonts w:ascii="Times New Roman" w:hAnsi="Times New Roman" w:cs="Times New Roman"/>
          <w:sz w:val="20"/>
          <w:szCs w:val="20"/>
          <w:lang w:val="en-US"/>
        </w:rPr>
        <w:t xml:space="preserve"> carbon support </w:t>
      </w:r>
      <w:r w:rsidR="005D1490">
        <w:rPr>
          <w:rFonts w:ascii="Times New Roman" w:hAnsi="Times New Roman" w:cs="Times New Roman"/>
          <w:sz w:val="20"/>
          <w:szCs w:val="20"/>
          <w:lang w:val="en-US"/>
        </w:rPr>
        <w:t xml:space="preserve">can </w:t>
      </w:r>
      <w:r w:rsidRPr="008F23CC">
        <w:rPr>
          <w:rFonts w:ascii="Times New Roman" w:hAnsi="Times New Roman" w:cs="Times New Roman"/>
          <w:sz w:val="20"/>
          <w:szCs w:val="20"/>
          <w:lang w:val="en-US"/>
        </w:rPr>
        <w:t>improve cell life performance</w:t>
      </w:r>
      <w:r w:rsidR="005F7B42"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while keeping power density high</w:t>
      </w:r>
      <w:r w:rsidR="005D1490">
        <w:rPr>
          <w:rFonts w:ascii="Times New Roman" w:hAnsi="Times New Roman" w:cs="Times New Roman"/>
          <w:sz w:val="20"/>
          <w:szCs w:val="20"/>
          <w:lang w:val="en-US"/>
        </w:rPr>
        <w:t>. H</w:t>
      </w:r>
      <w:r w:rsidRPr="008F23CC">
        <w:rPr>
          <w:rFonts w:ascii="Times New Roman" w:hAnsi="Times New Roman" w:cs="Times New Roman"/>
          <w:sz w:val="20"/>
          <w:szCs w:val="20"/>
          <w:lang w:val="en-US"/>
        </w:rPr>
        <w:t xml:space="preserve">eat treating </w:t>
      </w:r>
      <w:r w:rsidR="005D1490">
        <w:rPr>
          <w:rFonts w:ascii="Times New Roman" w:hAnsi="Times New Roman" w:cs="Times New Roman"/>
          <w:sz w:val="20"/>
          <w:szCs w:val="20"/>
          <w:lang w:val="en-US"/>
        </w:rPr>
        <w:t xml:space="preserve">of </w:t>
      </w:r>
      <w:r w:rsidRPr="008F23CC">
        <w:rPr>
          <w:rFonts w:ascii="Times New Roman" w:hAnsi="Times New Roman" w:cs="Times New Roman"/>
          <w:sz w:val="20"/>
          <w:szCs w:val="20"/>
          <w:lang w:val="en-US"/>
        </w:rPr>
        <w:t>carbon supports around 3,000</w:t>
      </w:r>
      <w:r w:rsidR="005D1490">
        <w:rPr>
          <w:rFonts w:ascii="Times New Roman" w:hAnsi="Times New Roman" w:cs="Times New Roman"/>
          <w:sz w:val="20"/>
          <w:szCs w:val="20"/>
          <w:lang w:val="en-US"/>
        </w:rPr>
        <w:t xml:space="preserve"> </w:t>
      </w:r>
      <w:r w:rsidR="005D1490" w:rsidRPr="005D1490">
        <w:rPr>
          <w:rFonts w:ascii="Times New Roman" w:hAnsi="Times New Roman" w:cs="Times New Roman"/>
          <w:sz w:val="20"/>
          <w:szCs w:val="20"/>
          <w:vertAlign w:val="superscript"/>
          <w:lang w:val="en-US"/>
        </w:rPr>
        <w:t>o</w:t>
      </w:r>
      <w:r w:rsidRPr="008F23CC">
        <w:rPr>
          <w:rFonts w:ascii="Times New Roman" w:hAnsi="Times New Roman" w:cs="Times New Roman"/>
          <w:sz w:val="20"/>
          <w:szCs w:val="20"/>
          <w:lang w:val="en-US"/>
        </w:rPr>
        <w:t>C</w:t>
      </w:r>
      <w:r w:rsidR="005D1490">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better cell</w:t>
      </w:r>
      <w:r w:rsidR="005F7B42"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temperature control, increas</w:t>
      </w:r>
      <w:r w:rsidR="005D1490">
        <w:rPr>
          <w:rFonts w:ascii="Times New Roman" w:hAnsi="Times New Roman" w:cs="Times New Roman"/>
          <w:sz w:val="20"/>
          <w:szCs w:val="20"/>
          <w:lang w:val="en-US"/>
        </w:rPr>
        <w:t>ed</w:t>
      </w:r>
      <w:r w:rsidRPr="008F23CC">
        <w:rPr>
          <w:rFonts w:ascii="Times New Roman" w:hAnsi="Times New Roman" w:cs="Times New Roman"/>
          <w:sz w:val="20"/>
          <w:szCs w:val="20"/>
          <w:lang w:val="en-US"/>
        </w:rPr>
        <w:t xml:space="preserve"> </w:t>
      </w:r>
      <w:r w:rsidR="005D1490">
        <w:rPr>
          <w:rFonts w:ascii="Times New Roman" w:hAnsi="Times New Roman" w:cs="Times New Roman"/>
          <w:sz w:val="20"/>
          <w:szCs w:val="20"/>
          <w:lang w:val="en-US"/>
        </w:rPr>
        <w:t>H</w:t>
      </w:r>
      <w:r w:rsidR="005D1490" w:rsidRPr="00AD19B9">
        <w:rPr>
          <w:rFonts w:ascii="Times New Roman" w:hAnsi="Times New Roman" w:cs="Times New Roman"/>
          <w:sz w:val="20"/>
          <w:szCs w:val="20"/>
          <w:vertAlign w:val="subscript"/>
          <w:lang w:val="en-US"/>
        </w:rPr>
        <w:t>3</w:t>
      </w:r>
      <w:r w:rsidR="005D1490">
        <w:rPr>
          <w:rFonts w:ascii="Times New Roman" w:hAnsi="Times New Roman" w:cs="Times New Roman"/>
          <w:sz w:val="20"/>
          <w:szCs w:val="20"/>
          <w:lang w:val="en-US"/>
        </w:rPr>
        <w:t>PO</w:t>
      </w:r>
      <w:r w:rsidR="005D1490" w:rsidRPr="00AD19B9">
        <w:rPr>
          <w:rFonts w:ascii="Times New Roman" w:hAnsi="Times New Roman" w:cs="Times New Roman"/>
          <w:sz w:val="20"/>
          <w:szCs w:val="20"/>
          <w:vertAlign w:val="subscript"/>
          <w:lang w:val="en-US"/>
        </w:rPr>
        <w:t>4</w:t>
      </w:r>
      <w:r w:rsidR="005D1490" w:rsidRPr="00AD19B9">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inventory, </w:t>
      </w:r>
      <w:r w:rsidR="005D1490">
        <w:rPr>
          <w:rFonts w:ascii="Times New Roman" w:hAnsi="Times New Roman" w:cs="Times New Roman"/>
          <w:sz w:val="20"/>
          <w:szCs w:val="20"/>
          <w:lang w:val="en-US"/>
        </w:rPr>
        <w:t>can further help towards</w:t>
      </w:r>
      <w:r w:rsidRPr="008F23CC">
        <w:rPr>
          <w:rFonts w:ascii="Times New Roman" w:hAnsi="Times New Roman" w:cs="Times New Roman"/>
          <w:sz w:val="20"/>
          <w:szCs w:val="20"/>
          <w:lang w:val="en-US"/>
        </w:rPr>
        <w:t xml:space="preserve"> </w:t>
      </w:r>
      <w:r w:rsidR="005D1490" w:rsidRPr="008F23CC">
        <w:rPr>
          <w:rFonts w:ascii="Times New Roman" w:hAnsi="Times New Roman" w:cs="Times New Roman"/>
          <w:sz w:val="20"/>
          <w:szCs w:val="20"/>
          <w:lang w:val="en-US"/>
        </w:rPr>
        <w:t>40,000 cell life</w:t>
      </w:r>
      <w:r w:rsidRPr="008F23CC">
        <w:rPr>
          <w:rFonts w:ascii="Times New Roman" w:hAnsi="Times New Roman" w:cs="Times New Roman"/>
          <w:sz w:val="20"/>
          <w:szCs w:val="20"/>
          <w:lang w:val="en-US"/>
        </w:rPr>
        <w:t>.</w:t>
      </w:r>
    </w:p>
    <w:p w:rsidR="00F36B66" w:rsidRPr="008F23CC" w:rsidRDefault="00F36B66" w:rsidP="005D1490">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CO absorption </w:t>
      </w:r>
      <w:r w:rsidR="00B46BEA" w:rsidRPr="008F23CC">
        <w:rPr>
          <w:rFonts w:ascii="Times New Roman" w:hAnsi="Times New Roman" w:cs="Times New Roman"/>
          <w:sz w:val="20"/>
          <w:szCs w:val="20"/>
          <w:lang w:val="en-US"/>
        </w:rPr>
        <w:t>affects Pt electrode catalysts</w:t>
      </w:r>
      <w:r w:rsidRPr="008F23CC">
        <w:rPr>
          <w:rFonts w:ascii="Times New Roman" w:hAnsi="Times New Roman" w:cs="Times New Roman"/>
          <w:sz w:val="20"/>
          <w:szCs w:val="20"/>
          <w:lang w:val="en-US"/>
        </w:rPr>
        <w:t>.</w:t>
      </w:r>
      <w:r w:rsidR="00DE06A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Both temperature and CO concentration have a major influence on </w:t>
      </w:r>
      <w:r w:rsidR="00DE06AD" w:rsidRPr="008F23CC">
        <w:rPr>
          <w:rFonts w:ascii="Times New Roman" w:hAnsi="Times New Roman" w:cs="Times New Roman"/>
          <w:sz w:val="20"/>
          <w:szCs w:val="20"/>
          <w:lang w:val="en-US"/>
        </w:rPr>
        <w:t xml:space="preserve">this effect. </w:t>
      </w:r>
      <w:r w:rsidR="005D1490" w:rsidRPr="008F23CC">
        <w:rPr>
          <w:rFonts w:ascii="Times New Roman" w:hAnsi="Times New Roman" w:cs="Times New Roman"/>
          <w:sz w:val="20"/>
          <w:szCs w:val="20"/>
          <w:lang w:val="en-US"/>
        </w:rPr>
        <w:t>H</w:t>
      </w:r>
      <w:r w:rsidR="005D1490" w:rsidRPr="00C148D3">
        <w:rPr>
          <w:rFonts w:ascii="Times New Roman" w:hAnsi="Times New Roman" w:cs="Times New Roman"/>
          <w:sz w:val="20"/>
          <w:szCs w:val="20"/>
          <w:vertAlign w:val="subscript"/>
          <w:lang w:val="en-US"/>
        </w:rPr>
        <w:t>2</w:t>
      </w:r>
      <w:r w:rsidR="005D1490"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and COS reduce the effectiveness of </w:t>
      </w:r>
      <w:r w:rsidR="00B46BEA"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catalysts.</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concentration levels of </w:t>
      </w:r>
      <w:r w:rsidR="00B46BEA" w:rsidRPr="008F23CC">
        <w:rPr>
          <w:rFonts w:ascii="Times New Roman" w:hAnsi="Times New Roman" w:cs="Times New Roman"/>
          <w:sz w:val="20"/>
          <w:szCs w:val="20"/>
          <w:lang w:val="en-US"/>
        </w:rPr>
        <w:t>total sulfur (H</w:t>
      </w:r>
      <w:r w:rsidR="00B46BEA" w:rsidRPr="00C148D3">
        <w:rPr>
          <w:rFonts w:ascii="Times New Roman" w:hAnsi="Times New Roman" w:cs="Times New Roman"/>
          <w:sz w:val="20"/>
          <w:szCs w:val="20"/>
          <w:vertAlign w:val="subscript"/>
          <w:lang w:val="en-US"/>
        </w:rPr>
        <w:t>2</w:t>
      </w:r>
      <w:r w:rsidR="00B46BEA" w:rsidRPr="008F23CC">
        <w:rPr>
          <w:rFonts w:ascii="Times New Roman" w:hAnsi="Times New Roman" w:cs="Times New Roman"/>
          <w:sz w:val="20"/>
          <w:szCs w:val="20"/>
          <w:lang w:val="en-US"/>
        </w:rPr>
        <w:t xml:space="preserve">S + COS) </w:t>
      </w:r>
      <w:r w:rsidRPr="008F23CC">
        <w:rPr>
          <w:rFonts w:ascii="Times New Roman" w:hAnsi="Times New Roman" w:cs="Times New Roman"/>
          <w:sz w:val="20"/>
          <w:szCs w:val="20"/>
          <w:lang w:val="en-US"/>
        </w:rPr>
        <w:t>are 50 ppm. The effect of</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H2S, however, decreases with increasing cell temperature.</w:t>
      </w:r>
      <w:r w:rsidR="00B46BEA" w:rsidRPr="008F23CC">
        <w:rPr>
          <w:rFonts w:ascii="Times New Roman" w:hAnsi="Times New Roman" w:cs="Times New Roman"/>
          <w:sz w:val="20"/>
          <w:szCs w:val="20"/>
          <w:lang w:val="en-US"/>
        </w:rPr>
        <w:t xml:space="preserve"> </w:t>
      </w:r>
      <w:r w:rsidR="005D1490" w:rsidRPr="008F23CC">
        <w:rPr>
          <w:rFonts w:ascii="Times New Roman" w:hAnsi="Times New Roman" w:cs="Times New Roman"/>
          <w:sz w:val="20"/>
          <w:szCs w:val="20"/>
          <w:lang w:val="en-US"/>
        </w:rPr>
        <w:t>The fuel stream must contain 1 vol % or less of CO, less than 50 ppmv of COS plus H</w:t>
      </w:r>
      <w:r w:rsidR="005D1490" w:rsidRPr="00C148D3">
        <w:rPr>
          <w:rFonts w:ascii="Times New Roman" w:hAnsi="Times New Roman" w:cs="Times New Roman"/>
          <w:sz w:val="20"/>
          <w:szCs w:val="20"/>
          <w:vertAlign w:val="subscript"/>
          <w:lang w:val="en-US"/>
        </w:rPr>
        <w:t>2</w:t>
      </w:r>
      <w:r w:rsidR="00C148D3">
        <w:rPr>
          <w:rFonts w:ascii="Times New Roman" w:hAnsi="Times New Roman" w:cs="Times New Roman"/>
          <w:sz w:val="20"/>
          <w:szCs w:val="20"/>
          <w:lang w:val="en-US"/>
        </w:rPr>
        <w:t>S, and less than 20 ppm</w:t>
      </w:r>
      <w:r w:rsidR="005D1490" w:rsidRPr="008F23CC">
        <w:rPr>
          <w:rFonts w:ascii="Times New Roman" w:hAnsi="Times New Roman" w:cs="Times New Roman"/>
          <w:sz w:val="20"/>
          <w:szCs w:val="20"/>
          <w:lang w:val="en-US"/>
        </w:rPr>
        <w:t xml:space="preserve"> of H</w:t>
      </w:r>
      <w:r w:rsidR="005D1490" w:rsidRPr="00C148D3">
        <w:rPr>
          <w:rFonts w:ascii="Times New Roman" w:hAnsi="Times New Roman" w:cs="Times New Roman"/>
          <w:sz w:val="20"/>
          <w:szCs w:val="20"/>
          <w:vertAlign w:val="subscript"/>
          <w:lang w:val="en-US"/>
        </w:rPr>
        <w:t>2</w:t>
      </w:r>
      <w:r w:rsidR="005D1490"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w:t>
      </w:r>
      <w:r w:rsidR="00B46BEA" w:rsidRPr="008F23CC">
        <w:rPr>
          <w:rFonts w:ascii="Times New Roman" w:hAnsi="Times New Roman" w:cs="Times New Roman"/>
          <w:sz w:val="20"/>
          <w:szCs w:val="20"/>
          <w:lang w:val="en-US"/>
        </w:rPr>
        <w:t>Especially</w:t>
      </w:r>
      <w:r w:rsidRPr="008F23CC">
        <w:rPr>
          <w:rFonts w:ascii="Times New Roman" w:hAnsi="Times New Roman" w:cs="Times New Roman"/>
          <w:sz w:val="20"/>
          <w:szCs w:val="20"/>
          <w:lang w:val="en-US"/>
        </w:rPr>
        <w:t xml:space="preserve"> NH</w:t>
      </w:r>
      <w:r w:rsidRPr="00C148D3">
        <w:rPr>
          <w:rFonts w:ascii="Times New Roman" w:hAnsi="Times New Roman" w:cs="Times New Roman"/>
          <w:sz w:val="20"/>
          <w:szCs w:val="20"/>
          <w:vertAlign w:val="subscript"/>
          <w:lang w:val="en-US"/>
        </w:rPr>
        <w:t>3</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in</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the fuel or oxidant gases</w:t>
      </w:r>
      <w:r w:rsidR="00B46BEA"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reacts with H</w:t>
      </w:r>
      <w:r w:rsidRPr="00C148D3">
        <w:rPr>
          <w:rFonts w:ascii="Times New Roman" w:hAnsi="Times New Roman" w:cs="Times New Roman"/>
          <w:sz w:val="20"/>
          <w:szCs w:val="20"/>
          <w:vertAlign w:val="subscript"/>
          <w:lang w:val="en-US"/>
        </w:rPr>
        <w:t>3</w:t>
      </w:r>
      <w:r w:rsidRPr="008F23CC">
        <w:rPr>
          <w:rFonts w:ascii="Times New Roman" w:hAnsi="Times New Roman" w:cs="Times New Roman"/>
          <w:sz w:val="20"/>
          <w:szCs w:val="20"/>
          <w:lang w:val="en-US"/>
        </w:rPr>
        <w:t>PO</w:t>
      </w:r>
      <w:r w:rsidRPr="00C148D3">
        <w:rPr>
          <w:rFonts w:ascii="Times New Roman" w:hAnsi="Times New Roman" w:cs="Times New Roman"/>
          <w:sz w:val="20"/>
          <w:szCs w:val="20"/>
          <w:vertAlign w:val="subscript"/>
          <w:lang w:val="en-US"/>
        </w:rPr>
        <w:t>4</w:t>
      </w:r>
      <w:r w:rsidRPr="008F23CC">
        <w:rPr>
          <w:rFonts w:ascii="Times New Roman" w:hAnsi="Times New Roman" w:cs="Times New Roman"/>
          <w:sz w:val="20"/>
          <w:szCs w:val="20"/>
          <w:lang w:val="en-US"/>
        </w:rPr>
        <w:t xml:space="preserve"> to (NH</w:t>
      </w:r>
      <w:r w:rsidRPr="00C148D3">
        <w:rPr>
          <w:rFonts w:ascii="Times New Roman" w:hAnsi="Times New Roman" w:cs="Times New Roman"/>
          <w:sz w:val="20"/>
          <w:szCs w:val="20"/>
          <w:vertAlign w:val="subscript"/>
          <w:lang w:val="en-US"/>
        </w:rPr>
        <w:t>4</w:t>
      </w:r>
      <w:r w:rsidRPr="008F23CC">
        <w:rPr>
          <w:rFonts w:ascii="Times New Roman" w:hAnsi="Times New Roman" w:cs="Times New Roman"/>
          <w:sz w:val="20"/>
          <w:szCs w:val="20"/>
          <w:lang w:val="en-US"/>
        </w:rPr>
        <w:t>)H</w:t>
      </w:r>
      <w:r w:rsidRPr="00C148D3">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PO</w:t>
      </w:r>
      <w:r w:rsidRPr="00C148D3">
        <w:rPr>
          <w:rFonts w:ascii="Times New Roman" w:hAnsi="Times New Roman" w:cs="Times New Roman"/>
          <w:sz w:val="20"/>
          <w:szCs w:val="20"/>
          <w:vertAlign w:val="subscript"/>
          <w:lang w:val="en-US"/>
        </w:rPr>
        <w:t>4</w:t>
      </w:r>
      <w:r w:rsidRPr="008F23CC">
        <w:rPr>
          <w:rFonts w:ascii="Times New Roman" w:hAnsi="Times New Roman" w:cs="Times New Roman"/>
          <w:sz w:val="20"/>
          <w:szCs w:val="20"/>
          <w:lang w:val="en-US"/>
        </w:rPr>
        <w:t>,</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which decreases the rate of O</w:t>
      </w:r>
      <w:r w:rsidRPr="00C148D3">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reduction. Consequently, the amount of</w:t>
      </w:r>
      <w:r w:rsidR="00B46BEA"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nitrogen must be limited to 4% because it will react with hydrogen to form NH</w:t>
      </w:r>
      <w:r w:rsidRPr="00C148D3">
        <w:rPr>
          <w:rFonts w:ascii="Times New Roman" w:hAnsi="Times New Roman" w:cs="Times New Roman"/>
          <w:sz w:val="20"/>
          <w:szCs w:val="20"/>
          <w:vertAlign w:val="subscript"/>
          <w:lang w:val="en-US"/>
        </w:rPr>
        <w:t>3</w:t>
      </w:r>
      <w:r w:rsidRPr="008F23CC">
        <w:rPr>
          <w:rFonts w:ascii="Times New Roman" w:hAnsi="Times New Roman" w:cs="Times New Roman"/>
          <w:sz w:val="20"/>
          <w:szCs w:val="20"/>
          <w:lang w:val="en-US"/>
        </w:rPr>
        <w:t>.</w:t>
      </w:r>
    </w:p>
    <w:p w:rsidR="00FF13B4" w:rsidRPr="008F23CC" w:rsidRDefault="00936ADD" w:rsidP="005D1490">
      <w:pPr>
        <w:autoSpaceDE w:val="0"/>
        <w:autoSpaceDN w:val="0"/>
        <w:adjustRightInd w:val="0"/>
        <w:spacing w:after="0" w:line="240" w:lineRule="auto"/>
        <w:ind w:firstLine="426"/>
        <w:jc w:val="both"/>
        <w:rPr>
          <w:rFonts w:ascii="Times New Roman" w:hAnsi="Times New Roman" w:cs="Times New Roman"/>
          <w:b/>
          <w:bCs/>
          <w:sz w:val="20"/>
          <w:szCs w:val="20"/>
          <w:lang w:val="en-US"/>
        </w:rPr>
      </w:pPr>
      <w:r w:rsidRPr="008F23CC">
        <w:rPr>
          <w:rFonts w:ascii="Times New Roman" w:hAnsi="Times New Roman" w:cs="Times New Roman"/>
          <w:sz w:val="20"/>
          <w:szCs w:val="20"/>
          <w:lang w:val="en-US"/>
        </w:rPr>
        <w:t xml:space="preserve">Pressure </w:t>
      </w:r>
      <w:r w:rsidR="00FF13B4" w:rsidRPr="008F23CC">
        <w:rPr>
          <w:rFonts w:ascii="Times New Roman" w:hAnsi="Times New Roman" w:cs="Times New Roman"/>
          <w:sz w:val="20"/>
          <w:szCs w:val="20"/>
          <w:lang w:val="en-US"/>
        </w:rPr>
        <w:t>increase enhances the pe</w:t>
      </w:r>
      <w:r w:rsidR="008969F0">
        <w:rPr>
          <w:rFonts w:ascii="Times New Roman" w:hAnsi="Times New Roman" w:cs="Times New Roman"/>
          <w:sz w:val="20"/>
          <w:szCs w:val="20"/>
          <w:lang w:val="en-US"/>
        </w:rPr>
        <w:t>rformance of PAFCs, due to</w:t>
      </w:r>
      <w:r w:rsidR="00FF13B4" w:rsidRPr="008F23CC">
        <w:rPr>
          <w:rFonts w:ascii="Times New Roman" w:hAnsi="Times New Roman" w:cs="Times New Roman"/>
          <w:sz w:val="20"/>
          <w:szCs w:val="20"/>
          <w:lang w:val="en-US"/>
        </w:rPr>
        <w:t xml:space="preserve"> lower diffusion polarization at the cathode and an increase in the reversible cell potential. </w:t>
      </w:r>
      <w:r w:rsidR="00FF13B4">
        <w:rPr>
          <w:rFonts w:ascii="Times New Roman" w:hAnsi="Times New Roman" w:cs="Times New Roman"/>
          <w:sz w:val="20"/>
          <w:szCs w:val="20"/>
          <w:lang w:val="en-US"/>
        </w:rPr>
        <w:t>The</w:t>
      </w:r>
      <w:r w:rsidR="00FF13B4" w:rsidRPr="008F23CC">
        <w:rPr>
          <w:rFonts w:ascii="Times New Roman" w:hAnsi="Times New Roman" w:cs="Times New Roman"/>
          <w:sz w:val="20"/>
          <w:szCs w:val="20"/>
          <w:lang w:val="en-US"/>
        </w:rPr>
        <w:t xml:space="preserve"> increase in temperature </w:t>
      </w:r>
      <w:r w:rsidR="008969F0">
        <w:rPr>
          <w:rFonts w:ascii="Times New Roman" w:hAnsi="Times New Roman" w:cs="Times New Roman"/>
          <w:sz w:val="20"/>
          <w:szCs w:val="20"/>
          <w:lang w:val="en-US"/>
        </w:rPr>
        <w:t xml:space="preserve">also </w:t>
      </w:r>
      <w:r w:rsidR="00FF13B4" w:rsidRPr="008F23CC">
        <w:rPr>
          <w:rFonts w:ascii="Times New Roman" w:hAnsi="Times New Roman" w:cs="Times New Roman"/>
          <w:sz w:val="20"/>
          <w:szCs w:val="20"/>
          <w:lang w:val="en-US"/>
        </w:rPr>
        <w:t xml:space="preserve">has a beneficial effect on performance </w:t>
      </w:r>
      <w:r w:rsidR="008969F0">
        <w:rPr>
          <w:rFonts w:ascii="Times New Roman" w:hAnsi="Times New Roman" w:cs="Times New Roman"/>
          <w:sz w:val="20"/>
          <w:szCs w:val="20"/>
          <w:lang w:val="en-US"/>
        </w:rPr>
        <w:t>(</w:t>
      </w:r>
      <w:r w:rsidR="008969F0" w:rsidRPr="008F23CC">
        <w:rPr>
          <w:rFonts w:ascii="Times New Roman" w:hAnsi="Times New Roman" w:cs="Times New Roman"/>
          <w:sz w:val="20"/>
          <w:szCs w:val="20"/>
          <w:lang w:val="en-US"/>
        </w:rPr>
        <w:t>0.55 – 1.15 mV/</w:t>
      </w:r>
      <w:r w:rsidR="008969F0" w:rsidRPr="008969F0">
        <w:rPr>
          <w:rFonts w:ascii="Times New Roman" w:hAnsi="Times New Roman" w:cs="Times New Roman"/>
          <w:sz w:val="20"/>
          <w:szCs w:val="20"/>
          <w:vertAlign w:val="superscript"/>
          <w:lang w:val="en-US"/>
        </w:rPr>
        <w:t>o</w:t>
      </w:r>
      <w:r w:rsidR="008969F0" w:rsidRPr="008F23CC">
        <w:rPr>
          <w:rFonts w:ascii="Times New Roman" w:hAnsi="Times New Roman" w:cs="Times New Roman"/>
          <w:sz w:val="20"/>
          <w:szCs w:val="20"/>
          <w:lang w:val="en-US"/>
        </w:rPr>
        <w:t>C voltage gain</w:t>
      </w:r>
      <w:r w:rsidR="008969F0">
        <w:rPr>
          <w:rFonts w:ascii="Times New Roman" w:hAnsi="Times New Roman" w:cs="Times New Roman"/>
          <w:sz w:val="20"/>
          <w:szCs w:val="20"/>
          <w:lang w:val="en-US"/>
        </w:rPr>
        <w:t xml:space="preserve">), </w:t>
      </w:r>
      <w:r w:rsidR="00FF13B4" w:rsidRPr="008F23CC">
        <w:rPr>
          <w:rFonts w:ascii="Times New Roman" w:hAnsi="Times New Roman" w:cs="Times New Roman"/>
          <w:sz w:val="20"/>
          <w:szCs w:val="20"/>
          <w:lang w:val="en-US"/>
        </w:rPr>
        <w:t xml:space="preserve">because activation, mass transfer, and ohmic losses are </w:t>
      </w:r>
      <w:r w:rsidR="008969F0">
        <w:rPr>
          <w:rFonts w:ascii="Times New Roman" w:hAnsi="Times New Roman" w:cs="Times New Roman"/>
          <w:sz w:val="20"/>
          <w:szCs w:val="20"/>
          <w:lang w:val="en-US"/>
        </w:rPr>
        <w:t>reduced, while t</w:t>
      </w:r>
      <w:r w:rsidR="00FF13B4" w:rsidRPr="008F23CC">
        <w:rPr>
          <w:rFonts w:ascii="Times New Roman" w:hAnsi="Times New Roman" w:cs="Times New Roman"/>
          <w:sz w:val="20"/>
          <w:szCs w:val="20"/>
          <w:lang w:val="en-US"/>
        </w:rPr>
        <w:t xml:space="preserve">he kinetics </w:t>
      </w:r>
      <w:r w:rsidR="008969F0">
        <w:rPr>
          <w:rFonts w:ascii="Times New Roman" w:hAnsi="Times New Roman" w:cs="Times New Roman"/>
          <w:sz w:val="20"/>
          <w:szCs w:val="20"/>
          <w:lang w:val="en-US"/>
        </w:rPr>
        <w:t xml:space="preserve">of </w:t>
      </w:r>
      <w:r w:rsidR="008969F0" w:rsidRPr="008F23CC">
        <w:rPr>
          <w:rFonts w:ascii="Times New Roman" w:hAnsi="Times New Roman" w:cs="Times New Roman"/>
          <w:sz w:val="20"/>
          <w:szCs w:val="20"/>
          <w:lang w:val="en-US"/>
        </w:rPr>
        <w:t xml:space="preserve">oxygen </w:t>
      </w:r>
      <w:r w:rsidR="00FF13B4" w:rsidRPr="008F23CC">
        <w:rPr>
          <w:rFonts w:ascii="Times New Roman" w:hAnsi="Times New Roman" w:cs="Times New Roman"/>
          <w:sz w:val="20"/>
          <w:szCs w:val="20"/>
          <w:lang w:val="en-US"/>
        </w:rPr>
        <w:t xml:space="preserve">reduction improves. </w:t>
      </w:r>
      <w:r w:rsidR="008969F0">
        <w:rPr>
          <w:rFonts w:ascii="Times New Roman" w:hAnsi="Times New Roman" w:cs="Times New Roman"/>
          <w:sz w:val="20"/>
          <w:szCs w:val="20"/>
          <w:lang w:val="en-US"/>
        </w:rPr>
        <w:t>Furthermore, t</w:t>
      </w:r>
      <w:r w:rsidR="00FF13B4" w:rsidRPr="008F23CC">
        <w:rPr>
          <w:rFonts w:ascii="Times New Roman" w:hAnsi="Times New Roman" w:cs="Times New Roman"/>
          <w:sz w:val="20"/>
          <w:szCs w:val="20"/>
          <w:lang w:val="en-US"/>
        </w:rPr>
        <w:t xml:space="preserve">emperature </w:t>
      </w:r>
      <w:r w:rsidR="008969F0">
        <w:rPr>
          <w:rFonts w:ascii="Times New Roman" w:hAnsi="Times New Roman" w:cs="Times New Roman"/>
          <w:sz w:val="20"/>
          <w:szCs w:val="20"/>
          <w:lang w:val="en-US"/>
        </w:rPr>
        <w:t>enhances</w:t>
      </w:r>
      <w:r w:rsidR="00FF13B4" w:rsidRPr="008F23CC">
        <w:rPr>
          <w:rFonts w:ascii="Times New Roman" w:hAnsi="Times New Roman" w:cs="Times New Roman"/>
          <w:sz w:val="20"/>
          <w:szCs w:val="20"/>
          <w:lang w:val="en-US"/>
        </w:rPr>
        <w:t xml:space="preserve"> anode tolerance to CO. </w:t>
      </w:r>
      <w:r w:rsidR="008969F0">
        <w:rPr>
          <w:rFonts w:ascii="Times New Roman" w:hAnsi="Times New Roman" w:cs="Times New Roman"/>
          <w:sz w:val="20"/>
          <w:szCs w:val="20"/>
          <w:lang w:val="en-US"/>
        </w:rPr>
        <w:t>On the other hand, i</w:t>
      </w:r>
      <w:r w:rsidR="00FF13B4" w:rsidRPr="008F23CC">
        <w:rPr>
          <w:rFonts w:ascii="Times New Roman" w:hAnsi="Times New Roman" w:cs="Times New Roman"/>
          <w:sz w:val="20"/>
          <w:szCs w:val="20"/>
          <w:lang w:val="en-US"/>
        </w:rPr>
        <w:t>ncreasing utilization or decreasing inlet concentration results in decreased cell performance</w:t>
      </w:r>
      <w:r w:rsidR="008969F0">
        <w:rPr>
          <w:rFonts w:ascii="Times New Roman" w:hAnsi="Times New Roman" w:cs="Times New Roman"/>
          <w:sz w:val="20"/>
          <w:szCs w:val="20"/>
          <w:lang w:val="en-US"/>
        </w:rPr>
        <w:t>,</w:t>
      </w:r>
      <w:r w:rsidR="00FF13B4" w:rsidRPr="008F23CC">
        <w:rPr>
          <w:rFonts w:ascii="Times New Roman" w:hAnsi="Times New Roman" w:cs="Times New Roman"/>
          <w:sz w:val="20"/>
          <w:szCs w:val="20"/>
          <w:lang w:val="en-US"/>
        </w:rPr>
        <w:t xml:space="preserve"> due to concentration polarization and Nernst losses. State-of-the-art utilizations are on the order of 85% and 50% for the fuel and oxidant, respectively.</w:t>
      </w:r>
    </w:p>
    <w:p w:rsidR="00C4585B" w:rsidRDefault="00C4585B" w:rsidP="005D1490">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voltage that can be obtained from a PAFC is reduced by ohmic, activation, and concentration losses, which increase with current density by a factor of 0.45 – 0.75 mV/mA/cm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for atmospheric, and 0.4 – 0.5 mV/mA/cm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for high pressure (up to 8 bar) operation.</w:t>
      </w:r>
      <w:r>
        <w:rPr>
          <w:rFonts w:ascii="Times New Roman" w:hAnsi="Times New Roman" w:cs="Times New Roman"/>
          <w:sz w:val="20"/>
          <w:szCs w:val="20"/>
          <w:lang w:val="en-US"/>
        </w:rPr>
        <w:t xml:space="preserve"> </w:t>
      </w:r>
      <w:r w:rsidR="008969F0">
        <w:rPr>
          <w:rFonts w:ascii="Times New Roman" w:hAnsi="Times New Roman" w:cs="Times New Roman"/>
          <w:sz w:val="20"/>
          <w:szCs w:val="20"/>
          <w:lang w:val="en-US"/>
        </w:rPr>
        <w:t>Most of the</w:t>
      </w:r>
      <w:r w:rsidR="00925C8C" w:rsidRPr="008F23CC">
        <w:rPr>
          <w:rFonts w:ascii="Times New Roman" w:hAnsi="Times New Roman" w:cs="Times New Roman"/>
          <w:sz w:val="20"/>
          <w:szCs w:val="20"/>
          <w:lang w:val="en-US"/>
        </w:rPr>
        <w:t xml:space="preserve"> polarization occurs at the cathode, </w:t>
      </w:r>
      <w:r w:rsidR="008969F0">
        <w:rPr>
          <w:rFonts w:ascii="Times New Roman" w:hAnsi="Times New Roman" w:cs="Times New Roman"/>
          <w:sz w:val="20"/>
          <w:szCs w:val="20"/>
          <w:lang w:val="en-US"/>
        </w:rPr>
        <w:t>and it</w:t>
      </w:r>
      <w:r w:rsidR="00925C8C" w:rsidRPr="008F23CC">
        <w:rPr>
          <w:rFonts w:ascii="Times New Roman" w:hAnsi="Times New Roman" w:cs="Times New Roman"/>
          <w:sz w:val="20"/>
          <w:szCs w:val="20"/>
          <w:lang w:val="en-US"/>
        </w:rPr>
        <w:t xml:space="preserve"> is greater with air (560 mV at 300 mA/cm</w:t>
      </w:r>
      <w:r w:rsidR="00925C8C" w:rsidRPr="008969F0">
        <w:rPr>
          <w:rFonts w:ascii="Times New Roman" w:hAnsi="Times New Roman" w:cs="Times New Roman"/>
          <w:sz w:val="20"/>
          <w:szCs w:val="20"/>
          <w:vertAlign w:val="superscript"/>
          <w:lang w:val="en-US"/>
        </w:rPr>
        <w:t>2</w:t>
      </w:r>
      <w:r w:rsidR="00925C8C" w:rsidRPr="008F23CC">
        <w:rPr>
          <w:rFonts w:ascii="Times New Roman" w:hAnsi="Times New Roman" w:cs="Times New Roman"/>
          <w:sz w:val="20"/>
          <w:szCs w:val="20"/>
          <w:lang w:val="en-US"/>
        </w:rPr>
        <w:t>) than with pure oxygen (480 mV at 300 mA/cm</w:t>
      </w:r>
      <w:r w:rsidR="00925C8C" w:rsidRPr="008969F0">
        <w:rPr>
          <w:rFonts w:ascii="Times New Roman" w:hAnsi="Times New Roman" w:cs="Times New Roman"/>
          <w:sz w:val="20"/>
          <w:szCs w:val="20"/>
          <w:vertAlign w:val="superscript"/>
          <w:lang w:val="en-US"/>
        </w:rPr>
        <w:t>2</w:t>
      </w:r>
      <w:r w:rsidR="00925C8C" w:rsidRPr="008F23CC">
        <w:rPr>
          <w:rFonts w:ascii="Times New Roman" w:hAnsi="Times New Roman" w:cs="Times New Roman"/>
          <w:sz w:val="20"/>
          <w:szCs w:val="20"/>
          <w:lang w:val="en-US"/>
        </w:rPr>
        <w:t xml:space="preserve">). The anode polarization </w:t>
      </w:r>
      <w:r w:rsidR="008969F0">
        <w:rPr>
          <w:rFonts w:ascii="Times New Roman" w:hAnsi="Times New Roman" w:cs="Times New Roman"/>
          <w:sz w:val="20"/>
          <w:szCs w:val="20"/>
          <w:lang w:val="en-US"/>
        </w:rPr>
        <w:t>is</w:t>
      </w:r>
      <w:r w:rsidR="008969F0" w:rsidRPr="008F23CC">
        <w:rPr>
          <w:rFonts w:ascii="Times New Roman" w:hAnsi="Times New Roman" w:cs="Times New Roman"/>
          <w:sz w:val="20"/>
          <w:szCs w:val="20"/>
          <w:lang w:val="en-US"/>
        </w:rPr>
        <w:t xml:space="preserve"> very low </w:t>
      </w:r>
      <w:r w:rsidR="00925C8C" w:rsidRPr="008F23CC">
        <w:rPr>
          <w:rFonts w:ascii="Times New Roman" w:hAnsi="Times New Roman" w:cs="Times New Roman"/>
          <w:sz w:val="20"/>
          <w:szCs w:val="20"/>
          <w:lang w:val="en-US"/>
        </w:rPr>
        <w:t>(-4 mV/100 mA/cm</w:t>
      </w:r>
      <w:r w:rsidR="00925C8C" w:rsidRPr="000B6E1B">
        <w:rPr>
          <w:rFonts w:ascii="Times New Roman" w:hAnsi="Times New Roman" w:cs="Times New Roman"/>
          <w:sz w:val="20"/>
          <w:szCs w:val="20"/>
          <w:vertAlign w:val="superscript"/>
          <w:lang w:val="en-US"/>
        </w:rPr>
        <w:t>2</w:t>
      </w:r>
      <w:r w:rsidR="00925C8C" w:rsidRPr="008F23CC">
        <w:rPr>
          <w:rFonts w:ascii="Times New Roman" w:hAnsi="Times New Roman" w:cs="Times New Roman"/>
          <w:sz w:val="20"/>
          <w:szCs w:val="20"/>
          <w:lang w:val="en-US"/>
        </w:rPr>
        <w:t xml:space="preserve">) </w:t>
      </w:r>
      <w:r w:rsidR="008969F0">
        <w:rPr>
          <w:rFonts w:ascii="Times New Roman" w:hAnsi="Times New Roman" w:cs="Times New Roman"/>
          <w:sz w:val="20"/>
          <w:szCs w:val="20"/>
          <w:lang w:val="en-US"/>
        </w:rPr>
        <w:t>with</w:t>
      </w:r>
      <w:r w:rsidR="00925C8C" w:rsidRPr="008F23CC">
        <w:rPr>
          <w:rFonts w:ascii="Times New Roman" w:hAnsi="Times New Roman" w:cs="Times New Roman"/>
          <w:sz w:val="20"/>
          <w:szCs w:val="20"/>
          <w:lang w:val="en-US"/>
        </w:rPr>
        <w:t xml:space="preserve"> pure H</w:t>
      </w:r>
      <w:r w:rsidR="00925C8C" w:rsidRPr="009360A8">
        <w:rPr>
          <w:rFonts w:ascii="Times New Roman" w:hAnsi="Times New Roman" w:cs="Times New Roman"/>
          <w:sz w:val="20"/>
          <w:szCs w:val="20"/>
          <w:vertAlign w:val="subscript"/>
          <w:lang w:val="en-US"/>
        </w:rPr>
        <w:t>2</w:t>
      </w:r>
      <w:r w:rsidR="008969F0">
        <w:rPr>
          <w:rFonts w:ascii="Times New Roman" w:hAnsi="Times New Roman" w:cs="Times New Roman"/>
          <w:sz w:val="20"/>
          <w:szCs w:val="20"/>
          <w:lang w:val="en-US"/>
        </w:rPr>
        <w:t xml:space="preserve">. The ohmic </w:t>
      </w:r>
      <w:r w:rsidR="00925C8C" w:rsidRPr="008F23CC">
        <w:rPr>
          <w:rFonts w:ascii="Times New Roman" w:hAnsi="Times New Roman" w:cs="Times New Roman"/>
          <w:sz w:val="20"/>
          <w:szCs w:val="20"/>
          <w:lang w:val="en-US"/>
        </w:rPr>
        <w:t>loss is also relatively small, amounting to about 12 mV at 100 mA/cm</w:t>
      </w:r>
      <w:r w:rsidR="00925C8C" w:rsidRPr="000B6E1B">
        <w:rPr>
          <w:rFonts w:ascii="Times New Roman" w:hAnsi="Times New Roman" w:cs="Times New Roman"/>
          <w:sz w:val="20"/>
          <w:szCs w:val="20"/>
          <w:vertAlign w:val="superscript"/>
          <w:lang w:val="en-US"/>
        </w:rPr>
        <w:t>2</w:t>
      </w:r>
      <w:r w:rsidR="00925C8C" w:rsidRPr="008F23CC">
        <w:rPr>
          <w:rFonts w:ascii="Times New Roman" w:hAnsi="Times New Roman" w:cs="Times New Roman"/>
          <w:sz w:val="20"/>
          <w:szCs w:val="20"/>
          <w:lang w:val="en-US"/>
        </w:rPr>
        <w:t>. Typical</w:t>
      </w:r>
      <w:r>
        <w:rPr>
          <w:rFonts w:ascii="Times New Roman" w:hAnsi="Times New Roman" w:cs="Times New Roman"/>
          <w:sz w:val="20"/>
          <w:szCs w:val="20"/>
          <w:lang w:val="en-US"/>
        </w:rPr>
        <w:t>ly,</w:t>
      </w:r>
      <w:r w:rsidR="00925C8C" w:rsidRPr="008F23CC">
        <w:rPr>
          <w:rFonts w:ascii="Times New Roman" w:hAnsi="Times New Roman" w:cs="Times New Roman"/>
          <w:sz w:val="20"/>
          <w:szCs w:val="20"/>
          <w:lang w:val="en-US"/>
        </w:rPr>
        <w:t xml:space="preserve"> PAFCs operate in the range of 100</w:t>
      </w:r>
      <w:r w:rsidR="002C486A">
        <w:rPr>
          <w:rFonts w:ascii="Times New Roman" w:hAnsi="Times New Roman" w:cs="Times New Roman"/>
          <w:sz w:val="20"/>
          <w:szCs w:val="20"/>
          <w:lang w:val="en-US"/>
        </w:rPr>
        <w:t xml:space="preserve"> – </w:t>
      </w:r>
      <w:r w:rsidR="00925C8C" w:rsidRPr="008F23CC">
        <w:rPr>
          <w:rFonts w:ascii="Times New Roman" w:hAnsi="Times New Roman" w:cs="Times New Roman"/>
          <w:sz w:val="20"/>
          <w:szCs w:val="20"/>
          <w:lang w:val="en-US"/>
        </w:rPr>
        <w:t>4</w:t>
      </w:r>
      <w:r w:rsidR="000F4F60">
        <w:rPr>
          <w:rFonts w:ascii="Times New Roman" w:hAnsi="Times New Roman" w:cs="Times New Roman"/>
          <w:sz w:val="20"/>
          <w:szCs w:val="20"/>
          <w:lang w:val="en-US"/>
        </w:rPr>
        <w:t>5</w:t>
      </w:r>
      <w:r w:rsidR="00925C8C" w:rsidRPr="008F23CC">
        <w:rPr>
          <w:rFonts w:ascii="Times New Roman" w:hAnsi="Times New Roman" w:cs="Times New Roman"/>
          <w:sz w:val="20"/>
          <w:szCs w:val="20"/>
          <w:lang w:val="en-US"/>
        </w:rPr>
        <w:t>0</w:t>
      </w:r>
      <w:r w:rsidR="002C486A">
        <w:rPr>
          <w:rFonts w:ascii="Times New Roman" w:hAnsi="Times New Roman" w:cs="Times New Roman"/>
          <w:sz w:val="20"/>
          <w:szCs w:val="20"/>
          <w:lang w:val="en-US"/>
        </w:rPr>
        <w:t xml:space="preserve"> </w:t>
      </w:r>
      <w:r w:rsidR="00925C8C" w:rsidRPr="008F23CC">
        <w:rPr>
          <w:rFonts w:ascii="Times New Roman" w:hAnsi="Times New Roman" w:cs="Times New Roman"/>
          <w:sz w:val="20"/>
          <w:szCs w:val="20"/>
          <w:lang w:val="en-US"/>
        </w:rPr>
        <w:t>mA/cm</w:t>
      </w:r>
      <w:r w:rsidR="00925C8C" w:rsidRPr="002C486A">
        <w:rPr>
          <w:rFonts w:ascii="Times New Roman" w:hAnsi="Times New Roman" w:cs="Times New Roman"/>
          <w:sz w:val="20"/>
          <w:szCs w:val="20"/>
          <w:vertAlign w:val="superscript"/>
          <w:lang w:val="en-US"/>
        </w:rPr>
        <w:t>2</w:t>
      </w:r>
      <w:r w:rsidR="00925C8C" w:rsidRPr="008F23CC">
        <w:rPr>
          <w:rFonts w:ascii="Times New Roman" w:hAnsi="Times New Roman" w:cs="Times New Roman"/>
          <w:sz w:val="20"/>
          <w:szCs w:val="20"/>
          <w:lang w:val="en-US"/>
        </w:rPr>
        <w:t xml:space="preserve"> at 600</w:t>
      </w:r>
      <w:r>
        <w:rPr>
          <w:rFonts w:ascii="Times New Roman" w:hAnsi="Times New Roman" w:cs="Times New Roman"/>
          <w:sz w:val="20"/>
          <w:szCs w:val="20"/>
          <w:lang w:val="en-US"/>
        </w:rPr>
        <w:t xml:space="preserve"> – </w:t>
      </w:r>
      <w:r w:rsidR="00925C8C" w:rsidRPr="008F23CC">
        <w:rPr>
          <w:rFonts w:ascii="Times New Roman" w:hAnsi="Times New Roman" w:cs="Times New Roman"/>
          <w:sz w:val="20"/>
          <w:szCs w:val="20"/>
          <w:lang w:val="en-US"/>
        </w:rPr>
        <w:t>800</w:t>
      </w:r>
      <w:r>
        <w:rPr>
          <w:rFonts w:ascii="Times New Roman" w:hAnsi="Times New Roman" w:cs="Times New Roman"/>
          <w:sz w:val="20"/>
          <w:szCs w:val="20"/>
          <w:lang w:val="en-US"/>
        </w:rPr>
        <w:t xml:space="preserve"> mV/cell, achieving power densities of</w:t>
      </w:r>
      <w:r w:rsidRPr="008F23CC">
        <w:rPr>
          <w:rFonts w:ascii="Times New Roman" w:hAnsi="Times New Roman" w:cs="Times New Roman"/>
          <w:sz w:val="20"/>
          <w:szCs w:val="20"/>
          <w:lang w:val="en-US"/>
        </w:rPr>
        <w:t xml:space="preserve"> 100 – </w:t>
      </w:r>
      <w:r>
        <w:rPr>
          <w:rFonts w:ascii="Times New Roman" w:hAnsi="Times New Roman" w:cs="Times New Roman"/>
          <w:sz w:val="20"/>
          <w:szCs w:val="20"/>
          <w:lang w:val="en-US"/>
        </w:rPr>
        <w:t>3</w:t>
      </w:r>
      <w:r w:rsidR="000F4F60">
        <w:rPr>
          <w:rFonts w:ascii="Times New Roman" w:hAnsi="Times New Roman" w:cs="Times New Roman"/>
          <w:sz w:val="20"/>
          <w:szCs w:val="20"/>
          <w:lang w:val="en-US"/>
        </w:rPr>
        <w:t>3</w:t>
      </w:r>
      <w:r w:rsidRPr="008F23CC">
        <w:rPr>
          <w:rFonts w:ascii="Times New Roman" w:hAnsi="Times New Roman" w:cs="Times New Roman"/>
          <w:sz w:val="20"/>
          <w:szCs w:val="20"/>
          <w:lang w:val="en-US"/>
        </w:rPr>
        <w:t>0 mW/cm</w:t>
      </w:r>
      <w:r w:rsidRPr="00C4585B">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w:t>
      </w:r>
      <w:r>
        <w:rPr>
          <w:rFonts w:ascii="Times New Roman" w:hAnsi="Times New Roman" w:cs="Times New Roman"/>
          <w:sz w:val="20"/>
          <w:szCs w:val="20"/>
          <w:lang w:val="en-US"/>
        </w:rPr>
        <w:t>and</w:t>
      </w:r>
      <w:r w:rsidRPr="008F23CC">
        <w:rPr>
          <w:rFonts w:ascii="Times New Roman" w:hAnsi="Times New Roman" w:cs="Times New Roman"/>
          <w:sz w:val="20"/>
          <w:szCs w:val="20"/>
          <w:lang w:val="en-US"/>
        </w:rPr>
        <w:t xml:space="preserve"> electrical efficiencies of 40 – 55 % </w:t>
      </w:r>
      <w:r w:rsidRPr="002647F4">
        <w:rPr>
          <w:rFonts w:ascii="Times New Roman" w:hAnsi="Times New Roman" w:cs="Times New Roman"/>
          <w:color w:val="000000" w:themeColor="text1"/>
          <w:sz w:val="20"/>
          <w:szCs w:val="20"/>
          <w:lang w:val="en-US"/>
        </w:rPr>
        <w:t>HHV [</w:t>
      </w:r>
      <w:r w:rsidR="000B6E1B" w:rsidRPr="002647F4">
        <w:rPr>
          <w:rFonts w:ascii="Times New Roman" w:hAnsi="Times New Roman" w:cs="Times New Roman"/>
          <w:color w:val="000000" w:themeColor="text1"/>
          <w:sz w:val="20"/>
          <w:szCs w:val="20"/>
          <w:lang w:val="en-US"/>
        </w:rPr>
        <w:t>1,</w:t>
      </w:r>
      <w:r w:rsidR="002647F4" w:rsidRPr="002647F4">
        <w:rPr>
          <w:rFonts w:ascii="Times New Roman" w:hAnsi="Times New Roman" w:cs="Times New Roman"/>
          <w:color w:val="000000" w:themeColor="text1"/>
          <w:sz w:val="20"/>
          <w:szCs w:val="20"/>
          <w:lang w:val="en-US"/>
        </w:rPr>
        <w:t>35</w:t>
      </w:r>
      <w:r w:rsidRPr="002647F4">
        <w:rPr>
          <w:rFonts w:ascii="Times New Roman" w:hAnsi="Times New Roman" w:cs="Times New Roman"/>
          <w:color w:val="000000" w:themeColor="text1"/>
          <w:sz w:val="20"/>
          <w:szCs w:val="20"/>
          <w:lang w:val="en-US"/>
        </w:rPr>
        <w:t xml:space="preserve">]. </w:t>
      </w:r>
      <w:r w:rsidR="00925C8C" w:rsidRPr="002647F4">
        <w:rPr>
          <w:rFonts w:ascii="Times New Roman" w:hAnsi="Times New Roman" w:cs="Times New Roman"/>
          <w:color w:val="000000" w:themeColor="text1"/>
          <w:sz w:val="20"/>
          <w:szCs w:val="20"/>
          <w:lang w:val="en-US"/>
        </w:rPr>
        <w:t>Voltage</w:t>
      </w:r>
      <w:r w:rsidR="00925C8C" w:rsidRPr="008F23CC">
        <w:rPr>
          <w:rFonts w:ascii="Times New Roman" w:hAnsi="Times New Roman" w:cs="Times New Roman"/>
          <w:sz w:val="20"/>
          <w:szCs w:val="20"/>
          <w:lang w:val="en-US"/>
        </w:rPr>
        <w:t xml:space="preserve"> and power constraints arise from increased corrosion of platinum and carbon components at cell potentials above approximately 800 mV. </w:t>
      </w:r>
    </w:p>
    <w:p w:rsidR="00C4585B" w:rsidRDefault="000F4F60" w:rsidP="00C4585B">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One of the primary areas of research is in extending cell life. State-of-the-art PAFCs exhibit degradatio</w:t>
      </w:r>
      <w:r w:rsidR="000B6E1B">
        <w:rPr>
          <w:rFonts w:ascii="Times New Roman" w:hAnsi="Times New Roman" w:cs="Times New Roman"/>
          <w:sz w:val="20"/>
          <w:szCs w:val="20"/>
          <w:lang w:val="en-US"/>
        </w:rPr>
        <w:t>n rates of about 15 – 25 mV/a [1</w:t>
      </w:r>
      <w:r w:rsidRPr="008F23C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goal is to maintain the performance of the cell stack at 40,000 hours. </w:t>
      </w:r>
      <w:r w:rsidR="00FF13B4" w:rsidRPr="008F23CC">
        <w:rPr>
          <w:rFonts w:ascii="Times New Roman" w:hAnsi="Times New Roman" w:cs="Times New Roman"/>
          <w:sz w:val="20"/>
          <w:szCs w:val="20"/>
          <w:lang w:val="en-US"/>
        </w:rPr>
        <w:t>UTC Fuel Cells has</w:t>
      </w:r>
      <w:r w:rsidR="00FF13B4">
        <w:rPr>
          <w:rFonts w:ascii="Times New Roman" w:hAnsi="Times New Roman" w:cs="Times New Roman"/>
          <w:sz w:val="20"/>
          <w:szCs w:val="20"/>
          <w:lang w:val="en-US"/>
        </w:rPr>
        <w:t xml:space="preserve"> demonstrated over</w:t>
      </w:r>
      <w:r w:rsidR="00FF13B4" w:rsidRPr="008F23CC">
        <w:rPr>
          <w:rFonts w:ascii="Times New Roman" w:hAnsi="Times New Roman" w:cs="Times New Roman"/>
          <w:sz w:val="20"/>
          <w:szCs w:val="20"/>
          <w:lang w:val="en-US"/>
        </w:rPr>
        <w:t xml:space="preserve"> 25 atmospheric pressure </w:t>
      </w:r>
      <w:r w:rsidR="00C4585B">
        <w:rPr>
          <w:rFonts w:ascii="Times New Roman" w:hAnsi="Times New Roman" w:cs="Times New Roman"/>
          <w:sz w:val="20"/>
          <w:szCs w:val="20"/>
          <w:lang w:val="en-US"/>
        </w:rPr>
        <w:t>PAFC</w:t>
      </w:r>
      <w:r w:rsidR="00FF13B4" w:rsidRPr="008F23CC">
        <w:rPr>
          <w:rFonts w:ascii="Times New Roman" w:hAnsi="Times New Roman" w:cs="Times New Roman"/>
          <w:sz w:val="20"/>
          <w:szCs w:val="20"/>
          <w:lang w:val="en-US"/>
        </w:rPr>
        <w:t xml:space="preserve"> plants </w:t>
      </w:r>
      <w:r w:rsidR="00FF13B4">
        <w:rPr>
          <w:rFonts w:ascii="Times New Roman" w:hAnsi="Times New Roman" w:cs="Times New Roman"/>
          <w:sz w:val="20"/>
          <w:szCs w:val="20"/>
          <w:lang w:val="en-US"/>
        </w:rPr>
        <w:t xml:space="preserve">of </w:t>
      </w:r>
      <w:r w:rsidR="00FF13B4" w:rsidRPr="008F23CC">
        <w:rPr>
          <w:rFonts w:ascii="Times New Roman" w:hAnsi="Times New Roman" w:cs="Times New Roman"/>
          <w:sz w:val="20"/>
          <w:szCs w:val="20"/>
          <w:lang w:val="en-US"/>
        </w:rPr>
        <w:t>200 kW</w:t>
      </w:r>
      <w:r w:rsidR="00FF13B4">
        <w:rPr>
          <w:rFonts w:ascii="Times New Roman" w:hAnsi="Times New Roman" w:cs="Times New Roman"/>
          <w:sz w:val="20"/>
          <w:szCs w:val="20"/>
          <w:lang w:val="en-US"/>
        </w:rPr>
        <w:t>,</w:t>
      </w:r>
      <w:r w:rsidR="00FF13B4" w:rsidRPr="008F23CC">
        <w:rPr>
          <w:rFonts w:ascii="Times New Roman" w:hAnsi="Times New Roman" w:cs="Times New Roman"/>
          <w:sz w:val="20"/>
          <w:szCs w:val="20"/>
          <w:lang w:val="en-US"/>
        </w:rPr>
        <w:t xml:space="preserve"> that have operated </w:t>
      </w:r>
      <w:r w:rsidR="00C4585B">
        <w:rPr>
          <w:rFonts w:ascii="Times New Roman" w:hAnsi="Times New Roman" w:cs="Times New Roman"/>
          <w:sz w:val="20"/>
          <w:szCs w:val="20"/>
          <w:lang w:val="en-US"/>
        </w:rPr>
        <w:t>for</w:t>
      </w:r>
      <w:r w:rsidR="00FF13B4" w:rsidRPr="008F23CC">
        <w:rPr>
          <w:rFonts w:ascii="Times New Roman" w:hAnsi="Times New Roman" w:cs="Times New Roman"/>
          <w:sz w:val="20"/>
          <w:szCs w:val="20"/>
          <w:lang w:val="en-US"/>
        </w:rPr>
        <w:t xml:space="preserve"> </w:t>
      </w:r>
      <w:r>
        <w:rPr>
          <w:rFonts w:ascii="Times New Roman" w:hAnsi="Times New Roman" w:cs="Times New Roman"/>
          <w:sz w:val="20"/>
          <w:szCs w:val="20"/>
          <w:lang w:val="en-US"/>
        </w:rPr>
        <w:t>4 – 5 years</w:t>
      </w:r>
      <w:r w:rsidR="00FF13B4"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1</w:t>
      </w:r>
      <w:r w:rsidR="00FF13B4" w:rsidRPr="008F23CC">
        <w:rPr>
          <w:rFonts w:ascii="Times New Roman" w:hAnsi="Times New Roman" w:cs="Times New Roman"/>
          <w:sz w:val="20"/>
          <w:szCs w:val="20"/>
          <w:lang w:val="en-US"/>
        </w:rPr>
        <w:t xml:space="preserve">]. The performance degradation rate was less than </w:t>
      </w:r>
      <w:r>
        <w:rPr>
          <w:rFonts w:ascii="Times New Roman" w:hAnsi="Times New Roman" w:cs="Times New Roman"/>
          <w:sz w:val="20"/>
          <w:szCs w:val="20"/>
          <w:lang w:val="en-US"/>
        </w:rPr>
        <w:t xml:space="preserve">2 – </w:t>
      </w:r>
      <w:r w:rsidR="00FF13B4" w:rsidRPr="008F23CC">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mV/1,000 hours</w:t>
      </w:r>
      <w:r w:rsidR="00FF13B4" w:rsidRPr="008F23CC">
        <w:rPr>
          <w:rFonts w:ascii="Times New Roman" w:hAnsi="Times New Roman" w:cs="Times New Roman"/>
          <w:sz w:val="20"/>
          <w:szCs w:val="20"/>
          <w:lang w:val="en-US"/>
        </w:rPr>
        <w:t xml:space="preserve">. UTC Fuel Cells reported a similar degradation rate in 2002 for power units </w:t>
      </w:r>
      <w:r w:rsidR="000B6E1B">
        <w:rPr>
          <w:rFonts w:ascii="Times New Roman" w:hAnsi="Times New Roman" w:cs="Times New Roman"/>
          <w:sz w:val="20"/>
          <w:szCs w:val="20"/>
          <w:lang w:val="en-US"/>
        </w:rPr>
        <w:t>operating up to 40,000 hours</w:t>
      </w:r>
      <w:r w:rsidR="00FF13B4" w:rsidRPr="008F23CC">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C4585B" w:rsidRPr="008F23CC">
        <w:rPr>
          <w:rFonts w:ascii="Times New Roman" w:hAnsi="Times New Roman" w:cs="Times New Roman"/>
          <w:sz w:val="20"/>
          <w:szCs w:val="20"/>
          <w:lang w:val="en-US"/>
        </w:rPr>
        <w:t xml:space="preserve">The efficiency of latest power plants at the beginning of life is 40% LHV. </w:t>
      </w:r>
      <w:r w:rsidR="00C4585B">
        <w:rPr>
          <w:rFonts w:ascii="Times New Roman" w:hAnsi="Times New Roman" w:cs="Times New Roman"/>
          <w:sz w:val="20"/>
          <w:szCs w:val="20"/>
          <w:lang w:val="en-US"/>
        </w:rPr>
        <w:t xml:space="preserve">Initially, </w:t>
      </w:r>
      <w:r w:rsidR="00C4585B" w:rsidRPr="008F23CC">
        <w:rPr>
          <w:rFonts w:ascii="Times New Roman" w:hAnsi="Times New Roman" w:cs="Times New Roman"/>
          <w:sz w:val="20"/>
          <w:szCs w:val="20"/>
          <w:lang w:val="en-US"/>
        </w:rPr>
        <w:t>efficiency reduces quickly to 38%, but then there is a small decrease in efficiency over the next 40,000 hours resulting in an average</w:t>
      </w:r>
      <w:r w:rsidR="000B6E1B">
        <w:rPr>
          <w:rFonts w:ascii="Times New Roman" w:hAnsi="Times New Roman" w:cs="Times New Roman"/>
          <w:sz w:val="20"/>
          <w:szCs w:val="20"/>
          <w:lang w:val="en-US"/>
        </w:rPr>
        <w:t xml:space="preserve"> efficiency over life of 37%</w:t>
      </w:r>
      <w:r w:rsidR="00C4585B" w:rsidRPr="008F23CC">
        <w:rPr>
          <w:rFonts w:ascii="Times New Roman" w:hAnsi="Times New Roman" w:cs="Times New Roman"/>
          <w:sz w:val="20"/>
          <w:szCs w:val="20"/>
          <w:lang w:val="en-US"/>
        </w:rPr>
        <w:t xml:space="preserve">. </w:t>
      </w:r>
    </w:p>
    <w:p w:rsidR="00BF726D" w:rsidRPr="008F23CC" w:rsidRDefault="00BF726D" w:rsidP="00BF726D">
      <w:pPr>
        <w:widowControl w:val="0"/>
        <w:autoSpaceDE w:val="0"/>
        <w:autoSpaceDN w:val="0"/>
        <w:adjustRightInd w:val="0"/>
        <w:spacing w:after="0" w:line="240" w:lineRule="auto"/>
        <w:jc w:val="both"/>
        <w:rPr>
          <w:rFonts w:ascii="Times New Roman" w:hAnsi="Times New Roman" w:cs="Times New Roman"/>
          <w:sz w:val="20"/>
          <w:szCs w:val="20"/>
          <w:lang w:val="en-US"/>
        </w:rPr>
      </w:pPr>
    </w:p>
    <w:p w:rsidR="00437FF2" w:rsidRPr="00936ADD" w:rsidRDefault="00BF726D" w:rsidP="003066A0">
      <w:pPr>
        <w:widowControl w:val="0"/>
        <w:autoSpaceDE w:val="0"/>
        <w:autoSpaceDN w:val="0"/>
        <w:adjustRightInd w:val="0"/>
        <w:spacing w:after="0" w:line="240" w:lineRule="auto"/>
        <w:jc w:val="both"/>
        <w:rPr>
          <w:rFonts w:ascii="Times New Roman" w:hAnsi="Times New Roman" w:cs="Times New Roman"/>
          <w:b/>
          <w:bCs/>
          <w:iCs/>
          <w:lang w:val="en-US"/>
        </w:rPr>
      </w:pPr>
      <w:r w:rsidRPr="00936ADD">
        <w:rPr>
          <w:rFonts w:ascii="Times New Roman" w:hAnsi="Times New Roman" w:cs="Times New Roman"/>
          <w:b/>
          <w:bCs/>
          <w:iCs/>
          <w:lang w:val="en-US"/>
        </w:rPr>
        <w:t xml:space="preserve">3.5 </w:t>
      </w:r>
      <w:r w:rsidR="005F0129" w:rsidRPr="00936ADD">
        <w:rPr>
          <w:rFonts w:ascii="Times New Roman" w:hAnsi="Times New Roman" w:cs="Times New Roman"/>
          <w:b/>
          <w:bCs/>
          <w:iCs/>
          <w:lang w:val="en-US"/>
        </w:rPr>
        <w:t>Alkaline Fuel Cell</w:t>
      </w:r>
      <w:r w:rsidR="00417C0A" w:rsidRPr="00936ADD">
        <w:rPr>
          <w:rFonts w:ascii="Times New Roman" w:hAnsi="Times New Roman" w:cs="Times New Roman"/>
          <w:b/>
          <w:bCs/>
          <w:iCs/>
          <w:lang w:val="en-US"/>
        </w:rPr>
        <w:t>s</w:t>
      </w:r>
      <w:r w:rsidR="005F0129" w:rsidRPr="00936ADD">
        <w:rPr>
          <w:rFonts w:ascii="Times New Roman" w:hAnsi="Times New Roman" w:cs="Times New Roman"/>
          <w:b/>
          <w:bCs/>
          <w:iCs/>
          <w:lang w:val="en-US"/>
        </w:rPr>
        <w:t xml:space="preserve"> </w:t>
      </w:r>
    </w:p>
    <w:p w:rsidR="00763523" w:rsidRPr="008F23CC" w:rsidRDefault="00041D0D" w:rsidP="006C17A0">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AFC were the first fuel cell technology</w:t>
      </w:r>
      <w:r w:rsidR="00763523" w:rsidRPr="008F23CC">
        <w:rPr>
          <w:rFonts w:ascii="Times New Roman" w:hAnsi="Times New Roman" w:cs="Times New Roman"/>
          <w:sz w:val="20"/>
          <w:szCs w:val="20"/>
          <w:lang w:val="en-US"/>
        </w:rPr>
        <w:t>, which was</w:t>
      </w:r>
      <w:r w:rsidRPr="008F23CC">
        <w:rPr>
          <w:rFonts w:ascii="Times New Roman" w:hAnsi="Times New Roman" w:cs="Times New Roman"/>
          <w:sz w:val="20"/>
          <w:szCs w:val="20"/>
          <w:lang w:val="en-US"/>
        </w:rPr>
        <w:t xml:space="preserve"> demonstr</w:t>
      </w:r>
      <w:r w:rsidR="00763523" w:rsidRPr="008F23CC">
        <w:rPr>
          <w:rFonts w:ascii="Times New Roman" w:hAnsi="Times New Roman" w:cs="Times New Roman"/>
          <w:sz w:val="20"/>
          <w:szCs w:val="20"/>
          <w:lang w:val="en-US"/>
        </w:rPr>
        <w:t>ated in a practical application – i.e. the</w:t>
      </w:r>
      <w:r w:rsidRPr="008F23CC">
        <w:rPr>
          <w:rFonts w:ascii="Times New Roman" w:hAnsi="Times New Roman" w:cs="Times New Roman"/>
          <w:sz w:val="20"/>
          <w:szCs w:val="20"/>
          <w:lang w:val="en-US"/>
        </w:rPr>
        <w:t xml:space="preserve"> powering NASA space missions since 1960s [</w:t>
      </w:r>
      <w:r w:rsidR="000B6E1B">
        <w:rPr>
          <w:rFonts w:ascii="Times New Roman" w:hAnsi="Times New Roman" w:cs="Times New Roman"/>
          <w:sz w:val="20"/>
          <w:szCs w:val="20"/>
          <w:lang w:val="en-US"/>
        </w:rPr>
        <w:t>1</w:t>
      </w:r>
      <w:r w:rsidRPr="008F23CC">
        <w:rPr>
          <w:rFonts w:ascii="Times New Roman" w:hAnsi="Times New Roman" w:cs="Times New Roman"/>
          <w:sz w:val="20"/>
          <w:szCs w:val="20"/>
          <w:lang w:val="en-US"/>
        </w:rPr>
        <w:t xml:space="preserve">]. </w:t>
      </w:r>
      <w:r w:rsidR="00763523" w:rsidRPr="008F23CC">
        <w:rPr>
          <w:rFonts w:ascii="Times New Roman" w:hAnsi="Times New Roman" w:cs="Times New Roman"/>
          <w:sz w:val="20"/>
          <w:szCs w:val="20"/>
          <w:lang w:val="en-US"/>
        </w:rPr>
        <w:t>Fast reaction kinetics, leading to higher cell voltages and system efficiencies, is commonly stated as the main advantage of AFCs [</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6</w:t>
      </w:r>
      <w:r w:rsidR="00763523" w:rsidRPr="008F23CC">
        <w:rPr>
          <w:rFonts w:ascii="Times New Roman" w:hAnsi="Times New Roman" w:cs="Times New Roman"/>
          <w:sz w:val="20"/>
          <w:szCs w:val="20"/>
          <w:lang w:val="en-US"/>
        </w:rPr>
        <w:t xml:space="preserve">]. However, this advantage is eliminated when AFCs are fuelled by natural gas </w:t>
      </w:r>
      <w:r w:rsidR="00763523" w:rsidRPr="002647F4">
        <w:rPr>
          <w:rFonts w:ascii="Times New Roman" w:hAnsi="Times New Roman" w:cs="Times New Roman"/>
          <w:color w:val="000000" w:themeColor="text1"/>
          <w:sz w:val="20"/>
          <w:szCs w:val="20"/>
          <w:lang w:val="en-US"/>
        </w:rPr>
        <w:t>[</w:t>
      </w:r>
      <w:r w:rsidR="002647F4" w:rsidRPr="002647F4">
        <w:rPr>
          <w:rFonts w:ascii="Times New Roman" w:hAnsi="Times New Roman" w:cs="Times New Roman"/>
          <w:color w:val="000000" w:themeColor="text1"/>
          <w:sz w:val="20"/>
          <w:szCs w:val="20"/>
          <w:lang w:val="en-US"/>
        </w:rPr>
        <w:t>35</w:t>
      </w:r>
      <w:r w:rsidR="00763523" w:rsidRPr="002647F4">
        <w:rPr>
          <w:rFonts w:ascii="Times New Roman" w:hAnsi="Times New Roman" w:cs="Times New Roman"/>
          <w:color w:val="000000" w:themeColor="text1"/>
          <w:sz w:val="20"/>
          <w:szCs w:val="20"/>
          <w:lang w:val="en-US"/>
        </w:rPr>
        <w:t>].</w:t>
      </w:r>
      <w:r w:rsidR="00763523"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 xml:space="preserve">The electrolyte is concentrated (85 wt%) KOH in high temperature AFCs (~250°C), or less concentrated </w:t>
      </w:r>
      <w:r w:rsidR="00AE142F" w:rsidRPr="008F23CC">
        <w:rPr>
          <w:rFonts w:ascii="Times New Roman" w:hAnsi="Times New Roman" w:cs="Times New Roman"/>
          <w:sz w:val="20"/>
          <w:szCs w:val="20"/>
          <w:lang w:val="en-US"/>
        </w:rPr>
        <w:t xml:space="preserve">KOH </w:t>
      </w:r>
      <w:r w:rsidR="005F0129" w:rsidRPr="008F23CC">
        <w:rPr>
          <w:rFonts w:ascii="Times New Roman" w:hAnsi="Times New Roman" w:cs="Times New Roman"/>
          <w:sz w:val="20"/>
          <w:szCs w:val="20"/>
          <w:lang w:val="en-US"/>
        </w:rPr>
        <w:t>(35</w:t>
      </w:r>
      <w:r w:rsidR="00AE142F" w:rsidRPr="008F23CC">
        <w:rPr>
          <w:rFonts w:ascii="Times New Roman" w:hAnsi="Times New Roman" w:cs="Times New Roman"/>
          <w:sz w:val="20"/>
          <w:szCs w:val="20"/>
          <w:lang w:val="en-US"/>
        </w:rPr>
        <w:t xml:space="preserve"> – </w:t>
      </w:r>
      <w:r w:rsidR="005F0129" w:rsidRPr="008F23CC">
        <w:rPr>
          <w:rFonts w:ascii="Times New Roman" w:hAnsi="Times New Roman" w:cs="Times New Roman"/>
          <w:sz w:val="20"/>
          <w:szCs w:val="20"/>
          <w:lang w:val="en-US"/>
        </w:rPr>
        <w:t>50</w:t>
      </w:r>
      <w:r w:rsidR="00AE142F"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 xml:space="preserve">wt%), </w:t>
      </w:r>
      <w:r w:rsidR="00763523" w:rsidRPr="008F23CC">
        <w:rPr>
          <w:rFonts w:ascii="Times New Roman" w:hAnsi="Times New Roman" w:cs="Times New Roman"/>
          <w:sz w:val="20"/>
          <w:szCs w:val="20"/>
          <w:lang w:val="en-US"/>
        </w:rPr>
        <w:t>in</w:t>
      </w:r>
      <w:r w:rsidR="005F0129" w:rsidRPr="008F23CC">
        <w:rPr>
          <w:rFonts w:ascii="Times New Roman" w:hAnsi="Times New Roman" w:cs="Times New Roman"/>
          <w:sz w:val="20"/>
          <w:szCs w:val="20"/>
          <w:lang w:val="en-US"/>
        </w:rPr>
        <w:t xml:space="preserve"> low temperature </w:t>
      </w:r>
      <w:r w:rsidR="00AE142F" w:rsidRPr="008F23CC">
        <w:rPr>
          <w:rFonts w:ascii="Times New Roman" w:hAnsi="Times New Roman" w:cs="Times New Roman"/>
          <w:sz w:val="20"/>
          <w:szCs w:val="20"/>
          <w:lang w:val="en-US"/>
        </w:rPr>
        <w:t xml:space="preserve">AFCs </w:t>
      </w:r>
      <w:r w:rsidR="005A5DBB" w:rsidRPr="008F23CC">
        <w:rPr>
          <w:rFonts w:ascii="Times New Roman" w:hAnsi="Times New Roman" w:cs="Times New Roman"/>
          <w:sz w:val="20"/>
          <w:szCs w:val="20"/>
          <w:lang w:val="en-US"/>
        </w:rPr>
        <w:t>(&lt;120°C), and it is</w:t>
      </w:r>
      <w:r w:rsidR="005F0129" w:rsidRPr="008F23CC">
        <w:rPr>
          <w:rFonts w:ascii="Times New Roman" w:hAnsi="Times New Roman" w:cs="Times New Roman"/>
          <w:sz w:val="20"/>
          <w:szCs w:val="20"/>
          <w:lang w:val="en-US"/>
        </w:rPr>
        <w:t xml:space="preserve"> retained in a</w:t>
      </w:r>
      <w:r w:rsidR="007668B1" w:rsidRPr="008F23CC">
        <w:rPr>
          <w:rFonts w:ascii="Times New Roman" w:hAnsi="Times New Roman" w:cs="Times New Roman"/>
          <w:sz w:val="20"/>
          <w:szCs w:val="20"/>
          <w:lang w:val="en-US"/>
        </w:rPr>
        <w:t>n</w:t>
      </w:r>
      <w:r w:rsidR="005F0129" w:rsidRPr="008F23CC">
        <w:rPr>
          <w:rFonts w:ascii="Times New Roman" w:hAnsi="Times New Roman" w:cs="Times New Roman"/>
          <w:sz w:val="20"/>
          <w:szCs w:val="20"/>
          <w:lang w:val="en-US"/>
        </w:rPr>
        <w:t xml:space="preserve"> </w:t>
      </w:r>
      <w:r w:rsidR="007668B1" w:rsidRPr="008F23CC">
        <w:rPr>
          <w:rFonts w:ascii="Times New Roman" w:hAnsi="Times New Roman" w:cs="Times New Roman"/>
          <w:sz w:val="20"/>
          <w:szCs w:val="20"/>
          <w:lang w:val="en-US"/>
        </w:rPr>
        <w:t>asbestos matrix</w:t>
      </w:r>
      <w:r w:rsidR="005A5DBB" w:rsidRPr="008F23CC">
        <w:rPr>
          <w:rFonts w:ascii="Times New Roman" w:hAnsi="Times New Roman" w:cs="Times New Roman"/>
          <w:sz w:val="20"/>
          <w:szCs w:val="20"/>
          <w:lang w:val="en-US"/>
        </w:rPr>
        <w:t>.</w:t>
      </w:r>
      <w:r w:rsidR="005F0129" w:rsidRPr="008F23CC">
        <w:rPr>
          <w:rFonts w:ascii="Times New Roman" w:hAnsi="Times New Roman" w:cs="Times New Roman"/>
          <w:sz w:val="20"/>
          <w:szCs w:val="20"/>
          <w:lang w:val="en-US"/>
        </w:rPr>
        <w:t xml:space="preserve"> CO is a poison, and CO</w:t>
      </w:r>
      <w:r w:rsidR="005F0129" w:rsidRPr="008F23CC">
        <w:rPr>
          <w:rFonts w:ascii="Times New Roman" w:hAnsi="Times New Roman" w:cs="Times New Roman"/>
          <w:sz w:val="20"/>
          <w:szCs w:val="20"/>
          <w:vertAlign w:val="subscript"/>
          <w:lang w:val="en-US"/>
        </w:rPr>
        <w:t>2</w:t>
      </w:r>
      <w:r w:rsidR="005F0129" w:rsidRPr="008F23CC">
        <w:rPr>
          <w:rFonts w:ascii="Times New Roman" w:hAnsi="Times New Roman" w:cs="Times New Roman"/>
          <w:sz w:val="20"/>
          <w:szCs w:val="20"/>
          <w:lang w:val="en-US"/>
        </w:rPr>
        <w:t xml:space="preserve"> react</w:t>
      </w:r>
      <w:r w:rsidR="005A5DBB"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 xml:space="preserve"> with </w:t>
      </w:r>
      <w:r w:rsidR="00AE142F" w:rsidRPr="008F23CC">
        <w:rPr>
          <w:rFonts w:ascii="Times New Roman" w:hAnsi="Times New Roman" w:cs="Times New Roman"/>
          <w:sz w:val="20"/>
          <w:szCs w:val="20"/>
          <w:lang w:val="en-US"/>
        </w:rPr>
        <w:t>KOH to K</w:t>
      </w:r>
      <w:r w:rsidR="00AE142F" w:rsidRPr="008F23CC">
        <w:rPr>
          <w:rFonts w:ascii="Times New Roman" w:hAnsi="Times New Roman" w:cs="Times New Roman"/>
          <w:sz w:val="20"/>
          <w:szCs w:val="20"/>
          <w:vertAlign w:val="subscript"/>
          <w:lang w:val="en-US"/>
        </w:rPr>
        <w:t>2</w:t>
      </w:r>
      <w:r w:rsidR="00AE142F" w:rsidRPr="008F23CC">
        <w:rPr>
          <w:rFonts w:ascii="Times New Roman" w:hAnsi="Times New Roman" w:cs="Times New Roman"/>
          <w:sz w:val="20"/>
          <w:szCs w:val="20"/>
          <w:lang w:val="en-US"/>
        </w:rPr>
        <w:t>CO</w:t>
      </w:r>
      <w:r w:rsidR="00CB2A8F" w:rsidRPr="008F23CC">
        <w:rPr>
          <w:rFonts w:ascii="Times New Roman" w:hAnsi="Times New Roman" w:cs="Times New Roman"/>
          <w:sz w:val="20"/>
          <w:szCs w:val="20"/>
          <w:vertAlign w:val="subscript"/>
          <w:lang w:val="en-US"/>
        </w:rPr>
        <w:t>3</w:t>
      </w:r>
      <w:r w:rsidR="00AE142F" w:rsidRPr="008F23CC">
        <w:rPr>
          <w:rFonts w:ascii="Times New Roman" w:hAnsi="Times New Roman" w:cs="Times New Roman"/>
          <w:sz w:val="20"/>
          <w:szCs w:val="20"/>
          <w:lang w:val="en-US"/>
        </w:rPr>
        <w:t xml:space="preserve">, </w:t>
      </w:r>
      <w:r w:rsidR="00763523" w:rsidRPr="008F23CC">
        <w:rPr>
          <w:rFonts w:ascii="Times New Roman" w:hAnsi="Times New Roman" w:cs="Times New Roman"/>
          <w:sz w:val="20"/>
          <w:szCs w:val="20"/>
          <w:lang w:val="en-US"/>
        </w:rPr>
        <w:t>so that</w:t>
      </w:r>
      <w:r w:rsidR="00AE142F" w:rsidRPr="008F23CC">
        <w:rPr>
          <w:rFonts w:ascii="Times New Roman" w:hAnsi="Times New Roman" w:cs="Times New Roman"/>
          <w:sz w:val="20"/>
          <w:szCs w:val="20"/>
          <w:lang w:val="en-US"/>
        </w:rPr>
        <w:t xml:space="preserve"> e</w:t>
      </w:r>
      <w:r w:rsidR="005F0129" w:rsidRPr="008F23CC">
        <w:rPr>
          <w:rFonts w:ascii="Times New Roman" w:hAnsi="Times New Roman" w:cs="Times New Roman"/>
          <w:sz w:val="20"/>
          <w:szCs w:val="20"/>
          <w:lang w:val="en-US"/>
        </w:rPr>
        <w:t xml:space="preserve">ven </w:t>
      </w:r>
      <w:r w:rsidR="00CB2A8F" w:rsidRPr="008F23CC">
        <w:rPr>
          <w:rFonts w:ascii="Times New Roman" w:hAnsi="Times New Roman" w:cs="Times New Roman"/>
          <w:sz w:val="20"/>
          <w:szCs w:val="20"/>
          <w:lang w:val="en-US"/>
        </w:rPr>
        <w:t>t</w:t>
      </w:r>
      <w:r w:rsidR="00AE142F" w:rsidRPr="008F23CC">
        <w:rPr>
          <w:rFonts w:ascii="Times New Roman" w:hAnsi="Times New Roman" w:cs="Times New Roman"/>
          <w:sz w:val="20"/>
          <w:szCs w:val="20"/>
          <w:lang w:val="en-US"/>
        </w:rPr>
        <w:t xml:space="preserve">he </w:t>
      </w:r>
      <w:r w:rsidR="005F0129" w:rsidRPr="008F23CC">
        <w:rPr>
          <w:rFonts w:ascii="Times New Roman" w:hAnsi="Times New Roman" w:cs="Times New Roman"/>
          <w:sz w:val="20"/>
          <w:szCs w:val="20"/>
          <w:lang w:val="en-US"/>
        </w:rPr>
        <w:t>small amount</w:t>
      </w:r>
      <w:r w:rsidR="00AE142F" w:rsidRPr="008F23CC">
        <w:rPr>
          <w:rFonts w:ascii="Times New Roman" w:hAnsi="Times New Roman" w:cs="Times New Roman"/>
          <w:sz w:val="20"/>
          <w:szCs w:val="20"/>
          <w:lang w:val="en-US"/>
        </w:rPr>
        <w:t>s</w:t>
      </w:r>
      <w:r w:rsidR="005F0129" w:rsidRPr="008F23CC">
        <w:rPr>
          <w:rFonts w:ascii="Times New Roman" w:hAnsi="Times New Roman" w:cs="Times New Roman"/>
          <w:sz w:val="20"/>
          <w:szCs w:val="20"/>
          <w:lang w:val="en-US"/>
        </w:rPr>
        <w:t xml:space="preserve"> of </w:t>
      </w:r>
      <w:r w:rsidR="005A5DBB" w:rsidRPr="008F23CC">
        <w:rPr>
          <w:rFonts w:ascii="Times New Roman" w:hAnsi="Times New Roman" w:cs="Times New Roman"/>
          <w:sz w:val="20"/>
          <w:szCs w:val="20"/>
          <w:lang w:val="en-US"/>
        </w:rPr>
        <w:t xml:space="preserve">ambient </w:t>
      </w:r>
      <w:r w:rsidR="00AE142F" w:rsidRPr="008F23CC">
        <w:rPr>
          <w:rFonts w:ascii="Times New Roman" w:hAnsi="Times New Roman" w:cs="Times New Roman"/>
          <w:sz w:val="20"/>
          <w:szCs w:val="20"/>
          <w:lang w:val="en-US"/>
        </w:rPr>
        <w:t>CO</w:t>
      </w:r>
      <w:r w:rsidR="00AE142F" w:rsidRPr="008F23CC">
        <w:rPr>
          <w:rFonts w:ascii="Times New Roman" w:hAnsi="Times New Roman" w:cs="Times New Roman"/>
          <w:sz w:val="20"/>
          <w:szCs w:val="20"/>
          <w:vertAlign w:val="subscript"/>
          <w:lang w:val="en-US"/>
        </w:rPr>
        <w:t>2</w:t>
      </w:r>
      <w:r w:rsidR="00AE142F" w:rsidRPr="008F23CC">
        <w:rPr>
          <w:rFonts w:ascii="Times New Roman" w:hAnsi="Times New Roman" w:cs="Times New Roman"/>
          <w:sz w:val="20"/>
          <w:szCs w:val="20"/>
          <w:lang w:val="en-US"/>
        </w:rPr>
        <w:t xml:space="preserve"> are</w:t>
      </w:r>
      <w:r w:rsidR="005F0129" w:rsidRPr="008F23CC">
        <w:rPr>
          <w:rFonts w:ascii="Times New Roman" w:hAnsi="Times New Roman" w:cs="Times New Roman"/>
          <w:sz w:val="20"/>
          <w:szCs w:val="20"/>
          <w:lang w:val="en-US"/>
        </w:rPr>
        <w:t xml:space="preserve"> detrimental</w:t>
      </w:r>
      <w:r w:rsidR="00AE142F" w:rsidRPr="008F23CC">
        <w:rPr>
          <w:rFonts w:ascii="Times New Roman" w:hAnsi="Times New Roman" w:cs="Times New Roman"/>
          <w:sz w:val="20"/>
          <w:szCs w:val="20"/>
          <w:lang w:val="en-US"/>
        </w:rPr>
        <w:t xml:space="preserve">. </w:t>
      </w:r>
      <w:r w:rsidR="00763523" w:rsidRPr="008F23CC">
        <w:rPr>
          <w:rFonts w:ascii="Times New Roman" w:hAnsi="Times New Roman" w:cs="Times New Roman"/>
          <w:sz w:val="20"/>
          <w:szCs w:val="20"/>
          <w:lang w:val="en-US"/>
        </w:rPr>
        <w:t xml:space="preserve">Along </w:t>
      </w:r>
      <w:r w:rsidR="006C17A0" w:rsidRPr="008F23CC">
        <w:rPr>
          <w:rFonts w:ascii="Times New Roman" w:hAnsi="Times New Roman" w:cs="Times New Roman"/>
          <w:sz w:val="20"/>
          <w:szCs w:val="20"/>
          <w:lang w:val="en-US"/>
        </w:rPr>
        <w:t>with</w:t>
      </w:r>
      <w:r w:rsidR="00763523" w:rsidRPr="008F23CC">
        <w:rPr>
          <w:rFonts w:ascii="Times New Roman" w:hAnsi="Times New Roman" w:cs="Times New Roman"/>
          <w:sz w:val="20"/>
          <w:szCs w:val="20"/>
          <w:lang w:val="en-US"/>
        </w:rPr>
        <w:t xml:space="preserve"> </w:t>
      </w:r>
      <w:r w:rsidR="006C17A0" w:rsidRPr="008F23CC">
        <w:rPr>
          <w:rFonts w:ascii="Times New Roman" w:hAnsi="Times New Roman" w:cs="Times New Roman"/>
          <w:sz w:val="20"/>
          <w:szCs w:val="20"/>
          <w:lang w:val="en-US"/>
        </w:rPr>
        <w:t>restricted</w:t>
      </w:r>
      <w:r w:rsidR="00763523" w:rsidRPr="008F23CC">
        <w:rPr>
          <w:rFonts w:ascii="Times New Roman" w:hAnsi="Times New Roman" w:cs="Times New Roman"/>
          <w:sz w:val="20"/>
          <w:szCs w:val="20"/>
          <w:lang w:val="en-US"/>
        </w:rPr>
        <w:t xml:space="preserve"> lifetimes</w:t>
      </w:r>
      <w:r w:rsidR="006C17A0" w:rsidRPr="008F23CC">
        <w:rPr>
          <w:rFonts w:ascii="Times New Roman" w:hAnsi="Times New Roman" w:cs="Times New Roman"/>
          <w:sz w:val="20"/>
          <w:szCs w:val="20"/>
          <w:lang w:val="en-US"/>
        </w:rPr>
        <w:t xml:space="preserve"> (</w:t>
      </w:r>
      <w:r w:rsidR="00763523" w:rsidRPr="008F23CC">
        <w:rPr>
          <w:rFonts w:ascii="Times New Roman" w:hAnsi="Times New Roman" w:cs="Times New Roman"/>
          <w:sz w:val="20"/>
          <w:szCs w:val="20"/>
          <w:lang w:val="en-US"/>
        </w:rPr>
        <w:t xml:space="preserve">due mostly to the </w:t>
      </w:r>
      <w:r w:rsidR="006C17A0" w:rsidRPr="008F23CC">
        <w:rPr>
          <w:rFonts w:ascii="Times New Roman" w:hAnsi="Times New Roman" w:cs="Times New Roman"/>
          <w:sz w:val="20"/>
          <w:szCs w:val="20"/>
          <w:lang w:val="en-US"/>
        </w:rPr>
        <w:t>presence of CO</w:t>
      </w:r>
      <w:r w:rsidR="006C17A0" w:rsidRPr="008F23CC">
        <w:rPr>
          <w:rFonts w:ascii="Times New Roman" w:hAnsi="Times New Roman" w:cs="Times New Roman"/>
          <w:sz w:val="20"/>
          <w:szCs w:val="20"/>
          <w:vertAlign w:val="subscript"/>
          <w:lang w:val="en-US"/>
        </w:rPr>
        <w:t>2</w:t>
      </w:r>
      <w:r w:rsidR="006C17A0" w:rsidRPr="008F23CC">
        <w:rPr>
          <w:rFonts w:ascii="Times New Roman" w:hAnsi="Times New Roman" w:cs="Times New Roman"/>
          <w:sz w:val="20"/>
          <w:szCs w:val="20"/>
          <w:lang w:val="en-US"/>
        </w:rPr>
        <w:t xml:space="preserve"> traces), t</w:t>
      </w:r>
      <w:r w:rsidR="00763523" w:rsidRPr="008F23CC">
        <w:rPr>
          <w:rFonts w:ascii="Times New Roman" w:hAnsi="Times New Roman" w:cs="Times New Roman"/>
          <w:sz w:val="20"/>
          <w:szCs w:val="20"/>
          <w:lang w:val="en-US"/>
        </w:rPr>
        <w:t xml:space="preserve">he cost of </w:t>
      </w:r>
      <w:r w:rsidR="007668B1" w:rsidRPr="008F23CC">
        <w:rPr>
          <w:rFonts w:ascii="Times New Roman" w:hAnsi="Times New Roman" w:cs="Times New Roman"/>
          <w:sz w:val="20"/>
          <w:szCs w:val="20"/>
          <w:lang w:val="en-US"/>
        </w:rPr>
        <w:t>CO</w:t>
      </w:r>
      <w:r w:rsidR="007668B1" w:rsidRPr="008F23CC">
        <w:rPr>
          <w:rFonts w:ascii="Times New Roman" w:hAnsi="Times New Roman" w:cs="Times New Roman"/>
          <w:sz w:val="20"/>
          <w:szCs w:val="20"/>
          <w:vertAlign w:val="subscript"/>
          <w:lang w:val="en-US"/>
        </w:rPr>
        <w:t>2</w:t>
      </w:r>
      <w:r w:rsidR="007668B1" w:rsidRPr="008F23CC">
        <w:rPr>
          <w:rFonts w:ascii="Times New Roman" w:hAnsi="Times New Roman" w:cs="Times New Roman"/>
          <w:sz w:val="20"/>
          <w:szCs w:val="20"/>
          <w:lang w:val="en-US"/>
        </w:rPr>
        <w:t xml:space="preserve"> </w:t>
      </w:r>
      <w:r w:rsidR="005F0129" w:rsidRPr="008F23CC">
        <w:rPr>
          <w:rFonts w:ascii="Times New Roman" w:hAnsi="Times New Roman" w:cs="Times New Roman"/>
          <w:sz w:val="20"/>
          <w:szCs w:val="20"/>
          <w:lang w:val="en-US"/>
        </w:rPr>
        <w:t xml:space="preserve">scrubbing </w:t>
      </w:r>
      <w:r w:rsidR="007668B1" w:rsidRPr="008F23CC">
        <w:rPr>
          <w:rFonts w:ascii="Times New Roman" w:hAnsi="Times New Roman" w:cs="Times New Roman"/>
          <w:sz w:val="20"/>
          <w:szCs w:val="20"/>
          <w:lang w:val="en-US"/>
        </w:rPr>
        <w:t>in</w:t>
      </w:r>
      <w:r w:rsidR="005F0129" w:rsidRPr="008F23CC">
        <w:rPr>
          <w:rFonts w:ascii="Times New Roman" w:hAnsi="Times New Roman" w:cs="Times New Roman"/>
          <w:sz w:val="20"/>
          <w:szCs w:val="20"/>
          <w:lang w:val="en-US"/>
        </w:rPr>
        <w:t xml:space="preserve"> </w:t>
      </w:r>
      <w:r w:rsidR="005A5DBB" w:rsidRPr="008F23CC">
        <w:rPr>
          <w:rFonts w:ascii="Times New Roman" w:hAnsi="Times New Roman" w:cs="Times New Roman"/>
          <w:sz w:val="20"/>
          <w:szCs w:val="20"/>
          <w:lang w:val="en-US"/>
        </w:rPr>
        <w:t xml:space="preserve">both </w:t>
      </w:r>
      <w:r w:rsidR="005F0129" w:rsidRPr="008F23CC">
        <w:rPr>
          <w:rFonts w:ascii="Times New Roman" w:hAnsi="Times New Roman" w:cs="Times New Roman"/>
          <w:sz w:val="20"/>
          <w:szCs w:val="20"/>
          <w:lang w:val="en-US"/>
        </w:rPr>
        <w:t>the air</w:t>
      </w:r>
      <w:r w:rsidR="005A5DBB" w:rsidRPr="008F23CC">
        <w:rPr>
          <w:rFonts w:ascii="Times New Roman" w:hAnsi="Times New Roman" w:cs="Times New Roman"/>
          <w:sz w:val="20"/>
          <w:szCs w:val="20"/>
          <w:lang w:val="en-US"/>
        </w:rPr>
        <w:t xml:space="preserve"> and the fuel</w:t>
      </w:r>
      <w:r w:rsidR="005F0129"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can explain the limited number of companies that persist in AFC</w:t>
      </w:r>
      <w:r w:rsidR="00763523"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focusing </w:t>
      </w:r>
      <w:r w:rsidR="00763523" w:rsidRPr="008F23CC">
        <w:rPr>
          <w:rFonts w:ascii="Times New Roman" w:hAnsi="Times New Roman" w:cs="Times New Roman"/>
          <w:sz w:val="20"/>
          <w:szCs w:val="20"/>
          <w:lang w:val="en-US"/>
        </w:rPr>
        <w:t>primarily to</w:t>
      </w:r>
      <w:r w:rsidRPr="008F23CC">
        <w:rPr>
          <w:rFonts w:ascii="Times New Roman" w:hAnsi="Times New Roman" w:cs="Times New Roman"/>
          <w:sz w:val="20"/>
          <w:szCs w:val="20"/>
          <w:lang w:val="en-US"/>
        </w:rPr>
        <w:t xml:space="preserve"> niche applications</w:t>
      </w:r>
      <w:r w:rsidR="00AC37DC"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1</w:t>
      </w:r>
      <w:r w:rsidR="002647F4">
        <w:rPr>
          <w:rFonts w:ascii="Times New Roman" w:hAnsi="Times New Roman" w:cs="Times New Roman"/>
          <w:sz w:val="20"/>
          <w:szCs w:val="20"/>
          <w:lang w:val="en-US"/>
        </w:rPr>
        <w:t>,35,</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7</w:t>
      </w:r>
      <w:r w:rsidR="00AC37DC" w:rsidRPr="008F23CC">
        <w:rPr>
          <w:rFonts w:ascii="Times New Roman" w:hAnsi="Times New Roman" w:cs="Times New Roman"/>
          <w:sz w:val="20"/>
          <w:szCs w:val="20"/>
          <w:lang w:val="en-US"/>
        </w:rPr>
        <w:t>,</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8</w:t>
      </w:r>
      <w:r w:rsidR="00AC37DC"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w:t>
      </w:r>
      <w:r w:rsidR="00763523" w:rsidRPr="008F23CC">
        <w:rPr>
          <w:rFonts w:ascii="Times New Roman" w:hAnsi="Times New Roman" w:cs="Times New Roman"/>
          <w:sz w:val="20"/>
          <w:szCs w:val="20"/>
          <w:lang w:val="en-US"/>
        </w:rPr>
        <w:t xml:space="preserve"> Nevertheless, cost projections for AFCs can present a more optimistic picture, in case evolvement </w:t>
      </w:r>
      <w:r w:rsidR="006C17A0" w:rsidRPr="008F23CC">
        <w:rPr>
          <w:rFonts w:ascii="Times New Roman" w:hAnsi="Times New Roman" w:cs="Times New Roman"/>
          <w:sz w:val="20"/>
          <w:szCs w:val="20"/>
          <w:lang w:val="en-US"/>
        </w:rPr>
        <w:t>of</w:t>
      </w:r>
      <w:r w:rsidR="00763523" w:rsidRPr="008F23CC">
        <w:rPr>
          <w:rFonts w:ascii="Times New Roman" w:hAnsi="Times New Roman" w:cs="Times New Roman"/>
          <w:sz w:val="20"/>
          <w:szCs w:val="20"/>
          <w:lang w:val="en-US"/>
        </w:rPr>
        <w:t xml:space="preserve"> the basic materials and construction techniques result</w:t>
      </w:r>
      <w:r w:rsidR="006C17A0" w:rsidRPr="008F23CC">
        <w:rPr>
          <w:rFonts w:ascii="Times New Roman" w:hAnsi="Times New Roman" w:cs="Times New Roman"/>
          <w:sz w:val="20"/>
          <w:szCs w:val="20"/>
          <w:lang w:val="en-US"/>
        </w:rPr>
        <w:t>s</w:t>
      </w:r>
      <w:r w:rsidR="00763523" w:rsidRPr="008F23CC">
        <w:rPr>
          <w:rFonts w:ascii="Times New Roman" w:hAnsi="Times New Roman" w:cs="Times New Roman"/>
          <w:sz w:val="20"/>
          <w:szCs w:val="20"/>
          <w:lang w:val="en-US"/>
        </w:rPr>
        <w:t xml:space="preserve"> </w:t>
      </w:r>
      <w:r w:rsidR="006C17A0" w:rsidRPr="008F23CC">
        <w:rPr>
          <w:rFonts w:ascii="Times New Roman" w:hAnsi="Times New Roman" w:cs="Times New Roman"/>
          <w:sz w:val="20"/>
          <w:szCs w:val="20"/>
          <w:lang w:val="en-US"/>
        </w:rPr>
        <w:t xml:space="preserve">in </w:t>
      </w:r>
      <w:r w:rsidR="00763523" w:rsidRPr="008F23CC">
        <w:rPr>
          <w:rFonts w:ascii="Times New Roman" w:hAnsi="Times New Roman" w:cs="Times New Roman"/>
          <w:sz w:val="20"/>
          <w:szCs w:val="20"/>
          <w:lang w:val="en-US"/>
        </w:rPr>
        <w:t>lower manufacturing costs [</w:t>
      </w:r>
      <w:r w:rsidR="002647F4">
        <w:rPr>
          <w:rFonts w:ascii="Times New Roman" w:hAnsi="Times New Roman" w:cs="Times New Roman"/>
          <w:sz w:val="20"/>
          <w:szCs w:val="20"/>
          <w:lang w:val="en-US"/>
        </w:rPr>
        <w:t>35,</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9</w:t>
      </w:r>
      <w:r w:rsidR="000B6E1B">
        <w:rPr>
          <w:rFonts w:ascii="Times New Roman" w:hAnsi="Times New Roman" w:cs="Times New Roman"/>
          <w:sz w:val="20"/>
          <w:szCs w:val="20"/>
          <w:lang w:val="en-US"/>
        </w:rPr>
        <w:t>,</w:t>
      </w:r>
      <w:r w:rsidR="001710B0">
        <w:rPr>
          <w:rFonts w:ascii="Times New Roman" w:hAnsi="Times New Roman" w:cs="Times New Roman"/>
          <w:sz w:val="20"/>
          <w:szCs w:val="20"/>
          <w:lang w:val="en-US"/>
        </w:rPr>
        <w:t>40</w:t>
      </w:r>
      <w:r w:rsidR="00763523" w:rsidRPr="008F23CC">
        <w:rPr>
          <w:rFonts w:ascii="Times New Roman" w:hAnsi="Times New Roman" w:cs="Times New Roman"/>
          <w:sz w:val="20"/>
          <w:szCs w:val="20"/>
          <w:lang w:val="en-US"/>
        </w:rPr>
        <w:t>].</w:t>
      </w:r>
    </w:p>
    <w:p w:rsidR="00CB2A8F" w:rsidRPr="008F23CC" w:rsidRDefault="006C17A0" w:rsidP="008B7354">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electrolyte is KOH water solutions with concentrations of 6 – 12 N. The 35% KOH electrolyte (low temperature AFCs) is usually replenished by a reservoir on the anode side. The use of the less expensive NaOH has also been considered, but minimal cost advantages are outweighed by the lower conductivity. However, NaOH increases the lifetime, because sodium carbonate (gradually formed in CO</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presence), forms smaller crystals, which do not harm the carbon pores of the electrodes. </w:t>
      </w:r>
      <w:r w:rsidR="006B32AB" w:rsidRPr="008F23CC">
        <w:rPr>
          <w:rFonts w:ascii="Times New Roman" w:hAnsi="Times New Roman" w:cs="Times New Roman"/>
          <w:sz w:val="20"/>
          <w:szCs w:val="20"/>
          <w:lang w:val="en-US"/>
        </w:rPr>
        <w:t>The fuel/oxidant separator (electrolyte matrix) of AFCs is usually</w:t>
      </w:r>
      <w:r w:rsidR="005A5DBB" w:rsidRPr="008F23CC">
        <w:rPr>
          <w:rFonts w:ascii="Times New Roman" w:hAnsi="Times New Roman" w:cs="Times New Roman"/>
          <w:sz w:val="20"/>
          <w:szCs w:val="20"/>
          <w:lang w:val="en-US"/>
        </w:rPr>
        <w:t xml:space="preserve"> asbestos, but </w:t>
      </w:r>
      <w:r w:rsidR="003C0CAC" w:rsidRPr="008F23CC">
        <w:rPr>
          <w:rFonts w:ascii="Times New Roman" w:hAnsi="Times New Roman" w:cs="Times New Roman"/>
          <w:sz w:val="20"/>
          <w:szCs w:val="20"/>
          <w:lang w:val="en-US"/>
        </w:rPr>
        <w:t xml:space="preserve">potassium titanate, ceria, </w:t>
      </w:r>
      <w:r w:rsidR="00FC3926" w:rsidRPr="008F23CC">
        <w:rPr>
          <w:rFonts w:ascii="Times New Roman" w:hAnsi="Times New Roman" w:cs="Times New Roman"/>
          <w:sz w:val="20"/>
          <w:szCs w:val="20"/>
          <w:lang w:val="en-US"/>
        </w:rPr>
        <w:t>or zirconium phosphate gel matrixes,</w:t>
      </w:r>
      <w:r w:rsidR="003C0CAC" w:rsidRPr="008F23CC">
        <w:rPr>
          <w:rFonts w:ascii="Times New Roman" w:hAnsi="Times New Roman" w:cs="Times New Roman"/>
          <w:sz w:val="20"/>
          <w:szCs w:val="20"/>
          <w:lang w:val="en-US"/>
        </w:rPr>
        <w:t xml:space="preserve"> </w:t>
      </w:r>
      <w:r w:rsidR="00FC3926" w:rsidRPr="008F23CC">
        <w:rPr>
          <w:rFonts w:ascii="Times New Roman" w:hAnsi="Times New Roman" w:cs="Times New Roman"/>
          <w:sz w:val="20"/>
          <w:szCs w:val="20"/>
          <w:lang w:val="en-US"/>
        </w:rPr>
        <w:t>are</w:t>
      </w:r>
      <w:r w:rsidR="003C0CAC" w:rsidRPr="008F23CC">
        <w:rPr>
          <w:rFonts w:ascii="Times New Roman" w:hAnsi="Times New Roman" w:cs="Times New Roman"/>
          <w:sz w:val="20"/>
          <w:szCs w:val="20"/>
          <w:lang w:val="en-US"/>
        </w:rPr>
        <w:t xml:space="preserve"> </w:t>
      </w:r>
      <w:r w:rsidR="006B32AB" w:rsidRPr="008F23CC">
        <w:rPr>
          <w:rFonts w:ascii="Times New Roman" w:hAnsi="Times New Roman" w:cs="Times New Roman"/>
          <w:sz w:val="20"/>
          <w:szCs w:val="20"/>
          <w:lang w:val="en-US"/>
        </w:rPr>
        <w:t xml:space="preserve">also </w:t>
      </w:r>
      <w:r w:rsidR="003C0CAC" w:rsidRPr="008F23CC">
        <w:rPr>
          <w:rFonts w:ascii="Times New Roman" w:hAnsi="Times New Roman" w:cs="Times New Roman"/>
          <w:sz w:val="20"/>
          <w:szCs w:val="20"/>
          <w:lang w:val="en-US"/>
        </w:rPr>
        <w:t xml:space="preserve">used. </w:t>
      </w:r>
      <w:r w:rsidR="00097C56" w:rsidRPr="008F23CC">
        <w:rPr>
          <w:rFonts w:ascii="Times New Roman" w:hAnsi="Times New Roman" w:cs="Times New Roman"/>
          <w:sz w:val="20"/>
          <w:szCs w:val="20"/>
          <w:lang w:val="en-US"/>
        </w:rPr>
        <w:t xml:space="preserve">In most cases noble metal </w:t>
      </w:r>
      <w:r w:rsidR="00537BA8" w:rsidRPr="008F23CC">
        <w:rPr>
          <w:rFonts w:ascii="Times New Roman" w:hAnsi="Times New Roman" w:cs="Times New Roman"/>
          <w:sz w:val="20"/>
          <w:szCs w:val="20"/>
          <w:lang w:val="en-US"/>
        </w:rPr>
        <w:t xml:space="preserve">at high loadings </w:t>
      </w:r>
      <w:r w:rsidR="003C0CAC" w:rsidRPr="008F23CC">
        <w:rPr>
          <w:rFonts w:ascii="Times New Roman" w:hAnsi="Times New Roman" w:cs="Times New Roman"/>
          <w:sz w:val="20"/>
          <w:szCs w:val="20"/>
          <w:lang w:val="en-US"/>
        </w:rPr>
        <w:t>(</w:t>
      </w:r>
      <w:r w:rsidR="00097C56" w:rsidRPr="008F23CC">
        <w:rPr>
          <w:rFonts w:ascii="Times New Roman" w:hAnsi="Times New Roman" w:cs="Times New Roman"/>
          <w:sz w:val="20"/>
          <w:szCs w:val="20"/>
          <w:lang w:val="en-US"/>
        </w:rPr>
        <w:t>i.e.</w:t>
      </w:r>
      <w:r w:rsidR="00537BA8" w:rsidRPr="008F23CC">
        <w:rPr>
          <w:rFonts w:ascii="Times New Roman" w:hAnsi="Times New Roman" w:cs="Times New Roman"/>
          <w:sz w:val="20"/>
          <w:szCs w:val="20"/>
          <w:lang w:val="en-US"/>
        </w:rPr>
        <w:t xml:space="preserve"> 80% Pt – 20 % Pd</w:t>
      </w:r>
      <w:r w:rsidR="003C0CAC" w:rsidRPr="008F23CC">
        <w:rPr>
          <w:rFonts w:ascii="Times New Roman" w:hAnsi="Times New Roman" w:cs="Times New Roman"/>
          <w:sz w:val="20"/>
          <w:szCs w:val="20"/>
          <w:lang w:val="en-US"/>
        </w:rPr>
        <w:t>)</w:t>
      </w:r>
      <w:r w:rsidR="00537BA8" w:rsidRPr="008F23CC">
        <w:rPr>
          <w:rFonts w:ascii="Times New Roman" w:hAnsi="Times New Roman" w:cs="Times New Roman"/>
          <w:sz w:val="20"/>
          <w:szCs w:val="20"/>
          <w:lang w:val="en-US"/>
        </w:rPr>
        <w:t xml:space="preserve">, </w:t>
      </w:r>
      <w:r w:rsidR="00097C56" w:rsidRPr="008F23CC">
        <w:rPr>
          <w:rFonts w:ascii="Times New Roman" w:hAnsi="Times New Roman" w:cs="Times New Roman"/>
          <w:sz w:val="20"/>
          <w:szCs w:val="20"/>
          <w:lang w:val="en-US"/>
        </w:rPr>
        <w:lastRenderedPageBreak/>
        <w:t xml:space="preserve">are used as electrocatalysts, although </w:t>
      </w:r>
      <w:r w:rsidR="003C0CAC" w:rsidRPr="008F23CC">
        <w:rPr>
          <w:rFonts w:ascii="Times New Roman" w:hAnsi="Times New Roman" w:cs="Times New Roman"/>
          <w:sz w:val="20"/>
          <w:szCs w:val="20"/>
          <w:lang w:val="en-US"/>
        </w:rPr>
        <w:t>non-noble metals (</w:t>
      </w:r>
      <w:r w:rsidR="00537BA8" w:rsidRPr="008F23CC">
        <w:rPr>
          <w:rFonts w:ascii="Times New Roman" w:hAnsi="Times New Roman" w:cs="Times New Roman"/>
          <w:sz w:val="20"/>
          <w:szCs w:val="20"/>
          <w:lang w:val="en-US"/>
        </w:rPr>
        <w:t>high surface area Raney nickel anodes and Raney silver cathodes containing small amounts of Ni, Bi, and Ti)</w:t>
      </w:r>
      <w:r w:rsidR="003C0CAC" w:rsidRPr="008F23CC">
        <w:rPr>
          <w:rFonts w:ascii="Times New Roman" w:hAnsi="Times New Roman" w:cs="Times New Roman"/>
          <w:sz w:val="20"/>
          <w:szCs w:val="20"/>
          <w:lang w:val="en-US"/>
        </w:rPr>
        <w:t xml:space="preserve">, </w:t>
      </w:r>
      <w:r w:rsidR="00537BA8" w:rsidRPr="008F23CC">
        <w:rPr>
          <w:rFonts w:ascii="Times New Roman" w:hAnsi="Times New Roman" w:cs="Times New Roman"/>
          <w:sz w:val="20"/>
          <w:szCs w:val="20"/>
          <w:lang w:val="en-US"/>
        </w:rPr>
        <w:t xml:space="preserve">or even </w:t>
      </w:r>
      <w:r w:rsidR="003C0CAC" w:rsidRPr="008F23CC">
        <w:rPr>
          <w:rFonts w:ascii="Times New Roman" w:hAnsi="Times New Roman" w:cs="Times New Roman"/>
          <w:sz w:val="20"/>
          <w:szCs w:val="20"/>
          <w:lang w:val="en-US"/>
        </w:rPr>
        <w:t>spinels and perovskites</w:t>
      </w:r>
      <w:r w:rsidR="00537BA8" w:rsidRPr="008F23CC">
        <w:rPr>
          <w:rFonts w:ascii="Times New Roman" w:hAnsi="Times New Roman" w:cs="Times New Roman"/>
          <w:sz w:val="20"/>
          <w:szCs w:val="20"/>
          <w:lang w:val="en-US"/>
        </w:rPr>
        <w:t xml:space="preserve"> are </w:t>
      </w:r>
      <w:r w:rsidR="00097C56" w:rsidRPr="008F23CC">
        <w:rPr>
          <w:rFonts w:ascii="Times New Roman" w:hAnsi="Times New Roman" w:cs="Times New Roman"/>
          <w:sz w:val="20"/>
          <w:szCs w:val="20"/>
          <w:lang w:val="en-US"/>
        </w:rPr>
        <w:t>being considered in several attempts to lower the cost</w:t>
      </w:r>
      <w:r w:rsidR="003C0CAC" w:rsidRPr="008F23CC">
        <w:rPr>
          <w:rFonts w:ascii="Times New Roman" w:hAnsi="Times New Roman" w:cs="Times New Roman"/>
          <w:sz w:val="20"/>
          <w:szCs w:val="20"/>
          <w:lang w:val="en-US"/>
        </w:rPr>
        <w:t xml:space="preserve">. </w:t>
      </w:r>
      <w:r w:rsidR="00097C56" w:rsidRPr="008F23CC">
        <w:rPr>
          <w:rFonts w:ascii="Times New Roman" w:hAnsi="Times New Roman" w:cs="Times New Roman"/>
          <w:sz w:val="20"/>
          <w:szCs w:val="20"/>
          <w:lang w:val="en-US"/>
        </w:rPr>
        <w:t>Noble metals loadings are of the order of 5g/m</w:t>
      </w:r>
      <w:r w:rsidR="00097C56" w:rsidRPr="008F23CC">
        <w:rPr>
          <w:rFonts w:ascii="Times New Roman" w:hAnsi="Times New Roman" w:cs="Times New Roman"/>
          <w:sz w:val="20"/>
          <w:szCs w:val="20"/>
          <w:vertAlign w:val="superscript"/>
          <w:lang w:val="en-US"/>
        </w:rPr>
        <w:t>2</w:t>
      </w:r>
      <w:r w:rsidR="00097C56" w:rsidRPr="008F23CC">
        <w:rPr>
          <w:rFonts w:ascii="Times New Roman" w:hAnsi="Times New Roman" w:cs="Times New Roman"/>
          <w:sz w:val="20"/>
          <w:szCs w:val="20"/>
          <w:lang w:val="en-US"/>
        </w:rPr>
        <w:t>. The electrocatalyst is dispersed on</w:t>
      </w:r>
      <w:r w:rsidR="00CB2A8F" w:rsidRPr="008F23CC">
        <w:rPr>
          <w:rFonts w:ascii="Times New Roman" w:hAnsi="Times New Roman" w:cs="Times New Roman"/>
          <w:sz w:val="20"/>
          <w:szCs w:val="20"/>
          <w:lang w:val="en-US"/>
        </w:rPr>
        <w:t xml:space="preserve"> carbon based </w:t>
      </w:r>
      <w:r w:rsidR="00097C56" w:rsidRPr="008F23CC">
        <w:rPr>
          <w:rFonts w:ascii="Times New Roman" w:hAnsi="Times New Roman" w:cs="Times New Roman"/>
          <w:sz w:val="20"/>
          <w:szCs w:val="20"/>
          <w:lang w:val="en-US"/>
        </w:rPr>
        <w:t xml:space="preserve">porous electrodes to ensure gas diffusion. The typical arrangement includes </w:t>
      </w:r>
      <w:r w:rsidR="00665378" w:rsidRPr="008F23CC">
        <w:rPr>
          <w:rFonts w:ascii="Times New Roman" w:hAnsi="Times New Roman" w:cs="Times New Roman"/>
          <w:sz w:val="20"/>
          <w:szCs w:val="20"/>
          <w:lang w:val="en-US"/>
        </w:rPr>
        <w:t xml:space="preserve">nickel </w:t>
      </w:r>
      <w:r w:rsidR="00CB2A8F" w:rsidRPr="008F23CC">
        <w:rPr>
          <w:rFonts w:ascii="Times New Roman" w:hAnsi="Times New Roman" w:cs="Times New Roman"/>
          <w:sz w:val="20"/>
          <w:szCs w:val="20"/>
          <w:lang w:val="en-US"/>
        </w:rPr>
        <w:t>curre</w:t>
      </w:r>
      <w:r w:rsidR="00665378" w:rsidRPr="008F23CC">
        <w:rPr>
          <w:rFonts w:ascii="Times New Roman" w:hAnsi="Times New Roman" w:cs="Times New Roman"/>
          <w:sz w:val="20"/>
          <w:szCs w:val="20"/>
          <w:lang w:val="en-US"/>
        </w:rPr>
        <w:t>nt collectors</w:t>
      </w:r>
      <w:r w:rsidR="00097C56" w:rsidRPr="008F23CC">
        <w:rPr>
          <w:rFonts w:ascii="Times New Roman" w:hAnsi="Times New Roman" w:cs="Times New Roman"/>
          <w:sz w:val="20"/>
          <w:szCs w:val="20"/>
          <w:lang w:val="en-US"/>
        </w:rPr>
        <w:t xml:space="preserve"> and gold-plated magnesium is bipolar plates</w:t>
      </w:r>
      <w:r w:rsidR="00CB2A8F"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[1]</w:t>
      </w:r>
      <w:r w:rsidR="00CB2A8F" w:rsidRPr="008F23CC">
        <w:rPr>
          <w:rFonts w:ascii="Times New Roman" w:hAnsi="Times New Roman" w:cs="Times New Roman"/>
          <w:sz w:val="20"/>
          <w:szCs w:val="20"/>
          <w:lang w:val="en-US"/>
        </w:rPr>
        <w:t>.</w:t>
      </w:r>
    </w:p>
    <w:p w:rsidR="00097C56" w:rsidRPr="008F23CC" w:rsidRDefault="00097C56" w:rsidP="008B7354">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Non-hydrocarbon</w:t>
      </w:r>
      <w:r w:rsidR="00E20A9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pure H2 </w:t>
      </w:r>
      <w:r w:rsidR="00E20A9D" w:rsidRPr="008F23CC">
        <w:rPr>
          <w:rFonts w:ascii="Times New Roman" w:hAnsi="Times New Roman" w:cs="Times New Roman"/>
          <w:sz w:val="20"/>
          <w:szCs w:val="20"/>
          <w:lang w:val="en-US"/>
        </w:rPr>
        <w:t>or cracked ammonia (25% N</w:t>
      </w:r>
      <w:r w:rsidR="00E20A9D" w:rsidRPr="000B6E1B">
        <w:rPr>
          <w:rFonts w:ascii="Times New Roman" w:hAnsi="Times New Roman" w:cs="Times New Roman"/>
          <w:sz w:val="20"/>
          <w:szCs w:val="20"/>
          <w:vertAlign w:val="subscript"/>
          <w:lang w:val="en-US"/>
        </w:rPr>
        <w:t>2</w:t>
      </w:r>
      <w:r w:rsidR="00E20A9D" w:rsidRPr="008F23CC">
        <w:rPr>
          <w:rFonts w:ascii="Times New Roman" w:hAnsi="Times New Roman" w:cs="Times New Roman"/>
          <w:sz w:val="20"/>
          <w:szCs w:val="20"/>
          <w:lang w:val="en-US"/>
        </w:rPr>
        <w:t>, 75% H</w:t>
      </w:r>
      <w:r w:rsidR="00E20A9D" w:rsidRPr="000B6E1B">
        <w:rPr>
          <w:rFonts w:ascii="Times New Roman" w:hAnsi="Times New Roman" w:cs="Times New Roman"/>
          <w:sz w:val="20"/>
          <w:szCs w:val="20"/>
          <w:vertAlign w:val="subscript"/>
          <w:lang w:val="en-US"/>
        </w:rPr>
        <w:t>2</w:t>
      </w:r>
      <w:r w:rsidR="00E20A9D" w:rsidRPr="008F23CC">
        <w:rPr>
          <w:rFonts w:ascii="Times New Roman" w:hAnsi="Times New Roman" w:cs="Times New Roman"/>
          <w:sz w:val="20"/>
          <w:szCs w:val="20"/>
          <w:lang w:val="en-US"/>
        </w:rPr>
        <w:t>, and residual NH</w:t>
      </w:r>
      <w:r w:rsidR="00E20A9D" w:rsidRPr="000B6E1B">
        <w:rPr>
          <w:rFonts w:ascii="Times New Roman" w:hAnsi="Times New Roman" w:cs="Times New Roman"/>
          <w:sz w:val="20"/>
          <w:szCs w:val="20"/>
          <w:vertAlign w:val="subscript"/>
          <w:lang w:val="en-US"/>
        </w:rPr>
        <w:t>3</w:t>
      </w:r>
      <w:r w:rsidR="00E20A9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can be fed directly to the anode. Due to the high diffusion rate of hydrogen</w:t>
      </w:r>
      <w:r w:rsidR="00E20A9D" w:rsidRPr="008F23CC">
        <w:rPr>
          <w:rFonts w:ascii="Times New Roman" w:hAnsi="Times New Roman" w:cs="Times New Roman"/>
          <w:sz w:val="20"/>
          <w:szCs w:val="20"/>
          <w:lang w:val="en-US"/>
        </w:rPr>
        <w:t>, in case of NH</w:t>
      </w:r>
      <w:r w:rsidR="00E20A9D" w:rsidRPr="000B6E1B">
        <w:rPr>
          <w:rFonts w:ascii="Times New Roman" w:hAnsi="Times New Roman" w:cs="Times New Roman"/>
          <w:sz w:val="20"/>
          <w:szCs w:val="20"/>
          <w:vertAlign w:val="subscript"/>
          <w:lang w:val="en-US"/>
        </w:rPr>
        <w:t>3</w:t>
      </w:r>
      <w:r w:rsidR="00E20A9D" w:rsidRPr="008F23CC">
        <w:rPr>
          <w:rFonts w:ascii="Times New Roman" w:hAnsi="Times New Roman" w:cs="Times New Roman"/>
          <w:sz w:val="20"/>
          <w:szCs w:val="20"/>
          <w:lang w:val="en-US"/>
        </w:rPr>
        <w:t xml:space="preserve"> feed,</w:t>
      </w:r>
      <w:r w:rsidRPr="008F23CC">
        <w:rPr>
          <w:rFonts w:ascii="Times New Roman" w:hAnsi="Times New Roman" w:cs="Times New Roman"/>
          <w:sz w:val="20"/>
          <w:szCs w:val="20"/>
          <w:lang w:val="en-US"/>
        </w:rPr>
        <w:t xml:space="preserve"> </w:t>
      </w:r>
      <w:r w:rsidR="00E20A9D" w:rsidRPr="008F23CC">
        <w:rPr>
          <w:rFonts w:ascii="Times New Roman" w:hAnsi="Times New Roman" w:cs="Times New Roman"/>
          <w:sz w:val="20"/>
          <w:szCs w:val="20"/>
          <w:lang w:val="en-US"/>
        </w:rPr>
        <w:t xml:space="preserve">result </w:t>
      </w:r>
      <w:r w:rsidRPr="008F23CC">
        <w:rPr>
          <w:rFonts w:ascii="Times New Roman" w:hAnsi="Times New Roman" w:cs="Times New Roman"/>
          <w:sz w:val="20"/>
          <w:szCs w:val="20"/>
          <w:lang w:val="en-US"/>
        </w:rPr>
        <w:t xml:space="preserve">only a very small decrease in </w:t>
      </w:r>
      <w:r w:rsidR="00E20A9D" w:rsidRPr="008F23CC">
        <w:rPr>
          <w:rFonts w:ascii="Times New Roman" w:hAnsi="Times New Roman" w:cs="Times New Roman"/>
          <w:sz w:val="20"/>
          <w:szCs w:val="20"/>
          <w:lang w:val="en-US"/>
        </w:rPr>
        <w:t xml:space="preserve">cell’s </w:t>
      </w:r>
      <w:r w:rsidRPr="008F23CC">
        <w:rPr>
          <w:rFonts w:ascii="Times New Roman" w:hAnsi="Times New Roman" w:cs="Times New Roman"/>
          <w:sz w:val="20"/>
          <w:szCs w:val="20"/>
          <w:lang w:val="en-US"/>
        </w:rPr>
        <w:t>potential</w:t>
      </w:r>
      <w:r w:rsidR="00E20A9D"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r w:rsidR="00E20A9D" w:rsidRPr="008F23CC">
        <w:rPr>
          <w:rFonts w:ascii="Times New Roman" w:hAnsi="Times New Roman" w:cs="Times New Roman"/>
          <w:sz w:val="20"/>
          <w:szCs w:val="20"/>
          <w:lang w:val="en-US"/>
        </w:rPr>
        <w:t>at medium current densities</w:t>
      </w:r>
      <w:r w:rsidRPr="008F23CC">
        <w:rPr>
          <w:rFonts w:ascii="Times New Roman" w:hAnsi="Times New Roman" w:cs="Times New Roman"/>
          <w:sz w:val="20"/>
          <w:szCs w:val="20"/>
          <w:lang w:val="en-US"/>
        </w:rPr>
        <w:t xml:space="preserve">. Gas purification is necessary </w:t>
      </w:r>
      <w:r w:rsidR="00E20A9D" w:rsidRPr="008F23CC">
        <w:rPr>
          <w:rFonts w:ascii="Times New Roman" w:hAnsi="Times New Roman" w:cs="Times New Roman"/>
          <w:sz w:val="20"/>
          <w:szCs w:val="20"/>
          <w:lang w:val="en-US"/>
        </w:rPr>
        <w:t>for</w:t>
      </w:r>
      <w:r w:rsidRPr="008F23CC">
        <w:rPr>
          <w:rFonts w:ascii="Times New Roman" w:hAnsi="Times New Roman" w:cs="Times New Roman"/>
          <w:sz w:val="20"/>
          <w:szCs w:val="20"/>
          <w:lang w:val="en-US"/>
        </w:rPr>
        <w:t xml:space="preserve"> H</w:t>
      </w:r>
      <w:r w:rsidRPr="008F23CC">
        <w:rPr>
          <w:rFonts w:ascii="Times New Roman" w:hAnsi="Times New Roman" w:cs="Times New Roman"/>
          <w:sz w:val="20"/>
          <w:szCs w:val="20"/>
          <w:vertAlign w:val="subscript"/>
          <w:lang w:val="en-US"/>
        </w:rPr>
        <w:t>2</w:t>
      </w:r>
      <w:r w:rsidRPr="008F23CC">
        <w:rPr>
          <w:rFonts w:ascii="Times New Roman" w:hAnsi="Times New Roman" w:cs="Times New Roman"/>
          <w:sz w:val="20"/>
          <w:szCs w:val="20"/>
          <w:lang w:val="en-US"/>
        </w:rPr>
        <w:t xml:space="preserve"> from carbon-containing sources. </w:t>
      </w:r>
    </w:p>
    <w:p w:rsidR="00DB1F82" w:rsidRPr="008F23CC" w:rsidRDefault="00DB1F82" w:rsidP="008B7354">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Multistep physical separation or chemical separation methods are mostly used in order to</w:t>
      </w:r>
      <w:r w:rsidR="002B0B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minimize</w:t>
      </w:r>
      <w:r w:rsidR="002B0B50" w:rsidRPr="008F23CC">
        <w:rPr>
          <w:rFonts w:ascii="Times New Roman" w:hAnsi="Times New Roman" w:cs="Times New Roman"/>
          <w:sz w:val="20"/>
          <w:szCs w:val="20"/>
          <w:lang w:val="en-US"/>
        </w:rPr>
        <w:t xml:space="preserve"> CO</w:t>
      </w:r>
      <w:r w:rsidR="002B0B50" w:rsidRPr="008F23CC">
        <w:rPr>
          <w:rFonts w:ascii="Times New Roman" w:hAnsi="Times New Roman" w:cs="Times New Roman"/>
          <w:sz w:val="20"/>
          <w:szCs w:val="20"/>
          <w:vertAlign w:val="subscript"/>
          <w:lang w:val="en-US"/>
        </w:rPr>
        <w:t>2</w:t>
      </w:r>
      <w:r w:rsidR="002B0B5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in the fuel and the oxidant </w:t>
      </w:r>
      <w:r w:rsidR="002B0B50" w:rsidRPr="008F23CC">
        <w:rPr>
          <w:rFonts w:ascii="Times New Roman" w:hAnsi="Times New Roman" w:cs="Times New Roman"/>
          <w:sz w:val="20"/>
          <w:szCs w:val="20"/>
          <w:lang w:val="en-US"/>
        </w:rPr>
        <w:t>streams.</w:t>
      </w:r>
      <w:r w:rsidRPr="008F23CC">
        <w:rPr>
          <w:rFonts w:ascii="Times New Roman" w:hAnsi="Times New Roman" w:cs="Times New Roman"/>
          <w:sz w:val="20"/>
          <w:szCs w:val="20"/>
          <w:lang w:val="en-US"/>
        </w:rPr>
        <w:t xml:space="preserve"> C</w:t>
      </w:r>
      <w:r w:rsidR="002B0B50" w:rsidRPr="008F23CC">
        <w:rPr>
          <w:rFonts w:ascii="Times New Roman" w:hAnsi="Times New Roman" w:cs="Times New Roman"/>
          <w:sz w:val="20"/>
          <w:szCs w:val="20"/>
          <w:lang w:val="en-US"/>
        </w:rPr>
        <w:t>ryogenic</w:t>
      </w:r>
      <w:r w:rsidR="00CB2A8F" w:rsidRPr="008F23CC">
        <w:rPr>
          <w:rFonts w:ascii="Times New Roman" w:hAnsi="Times New Roman" w:cs="Times New Roman"/>
          <w:sz w:val="20"/>
          <w:szCs w:val="20"/>
          <w:lang w:val="en-US"/>
        </w:rPr>
        <w:t xml:space="preserve"> </w:t>
      </w:r>
      <w:r w:rsidR="002B0B50" w:rsidRPr="008F23CC">
        <w:rPr>
          <w:rFonts w:ascii="Times New Roman" w:hAnsi="Times New Roman" w:cs="Times New Roman"/>
          <w:sz w:val="20"/>
          <w:szCs w:val="20"/>
          <w:lang w:val="en-US"/>
        </w:rPr>
        <w:t xml:space="preserve">separation </w:t>
      </w:r>
      <w:r w:rsidR="00001C38" w:rsidRPr="008F23CC">
        <w:rPr>
          <w:rFonts w:ascii="Times New Roman" w:hAnsi="Times New Roman" w:cs="Times New Roman"/>
          <w:sz w:val="20"/>
          <w:szCs w:val="20"/>
          <w:lang w:val="en-US"/>
        </w:rPr>
        <w:t>(CO</w:t>
      </w:r>
      <w:r w:rsidR="00001C38" w:rsidRPr="008F23CC">
        <w:rPr>
          <w:rFonts w:ascii="Times New Roman" w:hAnsi="Times New Roman" w:cs="Times New Roman"/>
          <w:sz w:val="20"/>
          <w:szCs w:val="20"/>
          <w:vertAlign w:val="subscript"/>
          <w:lang w:val="en-US"/>
        </w:rPr>
        <w:t>2</w:t>
      </w:r>
      <w:r w:rsidR="00001C38" w:rsidRPr="008F23CC">
        <w:rPr>
          <w:rFonts w:ascii="Times New Roman" w:hAnsi="Times New Roman" w:cs="Times New Roman"/>
          <w:sz w:val="20"/>
          <w:szCs w:val="20"/>
          <w:lang w:val="en-US"/>
        </w:rPr>
        <w:t xml:space="preserve"> condensation, low temperature distillation or CO</w:t>
      </w:r>
      <w:r w:rsidR="00001C38" w:rsidRPr="008F23CC">
        <w:rPr>
          <w:rFonts w:ascii="Times New Roman" w:hAnsi="Times New Roman" w:cs="Times New Roman"/>
          <w:sz w:val="20"/>
          <w:szCs w:val="20"/>
          <w:vertAlign w:val="subscript"/>
          <w:lang w:val="en-US"/>
        </w:rPr>
        <w:t>2</w:t>
      </w:r>
      <w:r w:rsidR="00001C38" w:rsidRPr="008F23CC">
        <w:rPr>
          <w:rFonts w:ascii="Times New Roman" w:hAnsi="Times New Roman" w:cs="Times New Roman"/>
          <w:sz w:val="20"/>
          <w:szCs w:val="20"/>
          <w:lang w:val="en-US"/>
        </w:rPr>
        <w:t xml:space="preserve"> liquefaction) can</w:t>
      </w:r>
      <w:r w:rsidRPr="008F23CC">
        <w:rPr>
          <w:rFonts w:ascii="Times New Roman" w:hAnsi="Times New Roman" w:cs="Times New Roman"/>
          <w:sz w:val="20"/>
          <w:szCs w:val="20"/>
          <w:lang w:val="en-US"/>
        </w:rPr>
        <w:t xml:space="preserve"> also </w:t>
      </w:r>
      <w:r w:rsidR="00001C38" w:rsidRPr="008F23CC">
        <w:rPr>
          <w:rFonts w:ascii="Times New Roman" w:hAnsi="Times New Roman" w:cs="Times New Roman"/>
          <w:sz w:val="20"/>
          <w:szCs w:val="20"/>
          <w:lang w:val="en-US"/>
        </w:rPr>
        <w:t xml:space="preserve">be </w:t>
      </w:r>
      <w:r w:rsidRPr="008F23CC">
        <w:rPr>
          <w:rFonts w:ascii="Times New Roman" w:hAnsi="Times New Roman" w:cs="Times New Roman"/>
          <w:sz w:val="20"/>
          <w:szCs w:val="20"/>
          <w:lang w:val="en-US"/>
        </w:rPr>
        <w:t>used</w:t>
      </w:r>
      <w:r w:rsidR="00001C38" w:rsidRPr="008F23CC">
        <w:rPr>
          <w:rFonts w:ascii="Times New Roman" w:hAnsi="Times New Roman" w:cs="Times New Roman"/>
          <w:sz w:val="20"/>
          <w:szCs w:val="20"/>
          <w:lang w:val="en-US"/>
        </w:rPr>
        <w:t>, in cases of</w:t>
      </w:r>
      <w:r w:rsidR="002B0B50" w:rsidRPr="008F23CC">
        <w:rPr>
          <w:rFonts w:ascii="Times New Roman" w:hAnsi="Times New Roman" w:cs="Times New Roman"/>
          <w:sz w:val="20"/>
          <w:szCs w:val="20"/>
          <w:lang w:val="en-US"/>
        </w:rPr>
        <w:t xml:space="preserve"> liquid </w:t>
      </w:r>
      <w:r w:rsidR="008E6A47" w:rsidRPr="008F23CC">
        <w:rPr>
          <w:rFonts w:ascii="Times New Roman" w:hAnsi="Times New Roman" w:cs="Times New Roman"/>
          <w:sz w:val="20"/>
          <w:szCs w:val="20"/>
          <w:lang w:val="en-US"/>
        </w:rPr>
        <w:t xml:space="preserve">or high purity </w:t>
      </w:r>
      <w:r w:rsidR="00001C38" w:rsidRPr="008F23CC">
        <w:rPr>
          <w:rFonts w:ascii="Times New Roman" w:hAnsi="Times New Roman" w:cs="Times New Roman"/>
          <w:sz w:val="20"/>
          <w:szCs w:val="20"/>
          <w:lang w:val="en-US"/>
        </w:rPr>
        <w:t>H</w:t>
      </w:r>
      <w:r w:rsidR="00001C38" w:rsidRPr="008F23CC">
        <w:rPr>
          <w:rFonts w:ascii="Times New Roman" w:hAnsi="Times New Roman" w:cs="Times New Roman"/>
          <w:sz w:val="20"/>
          <w:szCs w:val="20"/>
          <w:vertAlign w:val="subscript"/>
          <w:lang w:val="en-US"/>
        </w:rPr>
        <w:t>2</w:t>
      </w:r>
      <w:r w:rsidR="002B0B50" w:rsidRPr="008F23CC">
        <w:rPr>
          <w:rFonts w:ascii="Times New Roman" w:hAnsi="Times New Roman" w:cs="Times New Roman"/>
          <w:sz w:val="20"/>
          <w:szCs w:val="20"/>
          <w:lang w:val="en-US"/>
        </w:rPr>
        <w:t xml:space="preserve"> </w:t>
      </w:r>
      <w:r w:rsidR="00001C38" w:rsidRPr="008F23CC">
        <w:rPr>
          <w:rFonts w:ascii="Times New Roman" w:hAnsi="Times New Roman" w:cs="Times New Roman"/>
          <w:sz w:val="20"/>
          <w:szCs w:val="20"/>
          <w:lang w:val="en-US"/>
        </w:rPr>
        <w:t>supply.</w:t>
      </w:r>
      <w:r w:rsidR="002B0B50" w:rsidRPr="008F23CC">
        <w:rPr>
          <w:rFonts w:ascii="Times New Roman" w:hAnsi="Times New Roman" w:cs="Times New Roman"/>
          <w:sz w:val="20"/>
          <w:szCs w:val="20"/>
          <w:lang w:val="en-US"/>
        </w:rPr>
        <w:t xml:space="preserve"> </w:t>
      </w:r>
      <w:r w:rsidR="008E6A47" w:rsidRPr="008F23CC">
        <w:rPr>
          <w:rFonts w:ascii="Times New Roman" w:hAnsi="Times New Roman" w:cs="Times New Roman"/>
          <w:sz w:val="20"/>
          <w:szCs w:val="20"/>
          <w:lang w:val="en-US"/>
        </w:rPr>
        <w:t>Membrane (polymer or palladium/silver) separation is also a promising CO</w:t>
      </w:r>
      <w:r w:rsidR="008E6A47" w:rsidRPr="008F23CC">
        <w:rPr>
          <w:rFonts w:ascii="Times New Roman" w:hAnsi="Times New Roman" w:cs="Times New Roman"/>
          <w:sz w:val="20"/>
          <w:szCs w:val="20"/>
          <w:vertAlign w:val="subscript"/>
          <w:lang w:val="en-US"/>
        </w:rPr>
        <w:t>2</w:t>
      </w:r>
      <w:r w:rsidR="008E6A47" w:rsidRPr="008F23CC">
        <w:rPr>
          <w:rFonts w:ascii="Times New Roman" w:hAnsi="Times New Roman" w:cs="Times New Roman"/>
          <w:sz w:val="20"/>
          <w:szCs w:val="20"/>
          <w:lang w:val="en-US"/>
        </w:rPr>
        <w:t xml:space="preserve"> removal option. In this case, the membrane transports H</w:t>
      </w:r>
      <w:r w:rsidR="008E6A47" w:rsidRPr="008F23CC">
        <w:rPr>
          <w:rFonts w:ascii="Times New Roman" w:hAnsi="Times New Roman" w:cs="Times New Roman"/>
          <w:sz w:val="20"/>
          <w:szCs w:val="20"/>
          <w:vertAlign w:val="subscript"/>
          <w:lang w:val="en-US"/>
        </w:rPr>
        <w:t>2</w:t>
      </w:r>
      <w:r w:rsidR="008E6A47" w:rsidRPr="008F23CC">
        <w:rPr>
          <w:rFonts w:ascii="Times New Roman" w:hAnsi="Times New Roman" w:cs="Times New Roman"/>
          <w:sz w:val="20"/>
          <w:szCs w:val="20"/>
          <w:lang w:val="en-US"/>
        </w:rPr>
        <w:t xml:space="preserve"> by diffusion. High cost, low H</w:t>
      </w:r>
      <w:r w:rsidR="008E6A47" w:rsidRPr="008F23CC">
        <w:rPr>
          <w:rFonts w:ascii="Times New Roman" w:hAnsi="Times New Roman" w:cs="Times New Roman"/>
          <w:sz w:val="20"/>
          <w:szCs w:val="20"/>
          <w:vertAlign w:val="subscript"/>
          <w:lang w:val="en-US"/>
        </w:rPr>
        <w:t>2</w:t>
      </w:r>
      <w:r w:rsidR="008E6A47" w:rsidRPr="008F23CC">
        <w:rPr>
          <w:rFonts w:ascii="Times New Roman" w:hAnsi="Times New Roman" w:cs="Times New Roman"/>
          <w:sz w:val="20"/>
          <w:szCs w:val="20"/>
          <w:lang w:val="en-US"/>
        </w:rPr>
        <w:t xml:space="preserve"> fluxes and membrane degradation, along with the necessity for high pressure gradients, across the membrane, are the main drawbacks of these techniques. </w:t>
      </w:r>
    </w:p>
    <w:p w:rsidR="00537BA8" w:rsidRPr="008F23CC" w:rsidRDefault="00CB2A8F" w:rsidP="008B7354">
      <w:pPr>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typical performance of this AFC cell </w:t>
      </w:r>
      <w:r w:rsidR="00E20A9D" w:rsidRPr="008F23CC">
        <w:rPr>
          <w:rFonts w:ascii="Times New Roman" w:hAnsi="Times New Roman" w:cs="Times New Roman"/>
          <w:sz w:val="20"/>
          <w:szCs w:val="20"/>
          <w:lang w:val="en-US"/>
        </w:rPr>
        <w:t>i</w:t>
      </w:r>
      <w:r w:rsidRPr="008F23CC">
        <w:rPr>
          <w:rFonts w:ascii="Times New Roman" w:hAnsi="Times New Roman" w:cs="Times New Roman"/>
          <w:sz w:val="20"/>
          <w:szCs w:val="20"/>
          <w:lang w:val="en-US"/>
        </w:rPr>
        <w:t xml:space="preserve">s </w:t>
      </w:r>
      <w:r w:rsidR="00E20A9D" w:rsidRPr="008F23CC">
        <w:rPr>
          <w:rFonts w:ascii="Times New Roman" w:hAnsi="Times New Roman" w:cs="Times New Roman"/>
          <w:sz w:val="20"/>
          <w:szCs w:val="20"/>
          <w:lang w:val="en-US"/>
        </w:rPr>
        <w:t xml:space="preserve">in the range 0.65 – </w:t>
      </w:r>
      <w:r w:rsidRPr="008F23CC">
        <w:rPr>
          <w:rFonts w:ascii="Times New Roman" w:hAnsi="Times New Roman" w:cs="Times New Roman"/>
          <w:sz w:val="20"/>
          <w:szCs w:val="20"/>
          <w:lang w:val="en-US"/>
        </w:rPr>
        <w:t>0.85</w:t>
      </w:r>
      <w:r w:rsidR="00E20A9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V</w:t>
      </w:r>
      <w:r w:rsidR="00E20A9D"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at 1</w:t>
      </w:r>
      <w:r w:rsidR="00E20A9D" w:rsidRPr="008F23CC">
        <w:rPr>
          <w:rFonts w:ascii="Times New Roman" w:hAnsi="Times New Roman" w:cs="Times New Roman"/>
          <w:sz w:val="20"/>
          <w:szCs w:val="20"/>
          <w:lang w:val="en-US"/>
        </w:rPr>
        <w:t>00 – 2</w:t>
      </w:r>
      <w:r w:rsidRPr="008F23CC">
        <w:rPr>
          <w:rFonts w:ascii="Times New Roman" w:hAnsi="Times New Roman" w:cs="Times New Roman"/>
          <w:sz w:val="20"/>
          <w:szCs w:val="20"/>
          <w:lang w:val="en-US"/>
        </w:rPr>
        <w:t>50 mA/cm</w:t>
      </w:r>
      <w:r w:rsidRPr="008F23CC">
        <w:rPr>
          <w:rFonts w:ascii="Times New Roman" w:hAnsi="Times New Roman" w:cs="Times New Roman"/>
          <w:sz w:val="20"/>
          <w:szCs w:val="20"/>
          <w:vertAlign w:val="superscript"/>
          <w:lang w:val="en-US"/>
        </w:rPr>
        <w:t>2</w:t>
      </w:r>
      <w:r w:rsidR="00E20A9D" w:rsidRPr="008F23CC">
        <w:rPr>
          <w:rFonts w:ascii="Times New Roman" w:hAnsi="Times New Roman" w:cs="Times New Roman"/>
          <w:sz w:val="20"/>
          <w:szCs w:val="20"/>
          <w:lang w:val="en-US"/>
        </w:rPr>
        <w:t>, and 60 – 180 mW/cm</w:t>
      </w:r>
      <w:r w:rsidR="00E20A9D" w:rsidRPr="008F23CC">
        <w:rPr>
          <w:rFonts w:ascii="Times New Roman" w:hAnsi="Times New Roman" w:cs="Times New Roman"/>
          <w:sz w:val="20"/>
          <w:szCs w:val="20"/>
          <w:vertAlign w:val="superscript"/>
          <w:lang w:val="en-US"/>
        </w:rPr>
        <w:t>2</w:t>
      </w:r>
      <w:r w:rsidR="00E20A9D" w:rsidRPr="008F23CC">
        <w:rPr>
          <w:rFonts w:ascii="Times New Roman" w:hAnsi="Times New Roman" w:cs="Times New Roman"/>
          <w:sz w:val="20"/>
          <w:szCs w:val="20"/>
          <w:lang w:val="en-US"/>
        </w:rPr>
        <w:t xml:space="preserve"> – </w:t>
      </w:r>
      <w:r w:rsidRPr="008F23CC">
        <w:rPr>
          <w:rFonts w:ascii="Times New Roman" w:hAnsi="Times New Roman" w:cs="Times New Roman"/>
          <w:sz w:val="20"/>
          <w:szCs w:val="20"/>
          <w:lang w:val="en-US"/>
        </w:rPr>
        <w:t>UTC Fuel Cells has demonstrated 3.4 W/cm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at 0.8 V and 4</w:t>
      </w:r>
      <w:r w:rsidR="00E20A9D"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3</w:t>
      </w:r>
      <w:r w:rsidR="00E20A9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A/cm</w:t>
      </w:r>
      <w:r w:rsidRPr="000B6E1B">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w:t>
      </w:r>
      <w:r w:rsidR="002647F4">
        <w:rPr>
          <w:rFonts w:ascii="Times New Roman" w:hAnsi="Times New Roman" w:cs="Times New Roman"/>
          <w:sz w:val="20"/>
          <w:szCs w:val="20"/>
          <w:lang w:val="en-US"/>
        </w:rPr>
        <w:t>35,</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9</w:t>
      </w:r>
      <w:r w:rsidR="000B6E1B">
        <w:rPr>
          <w:rFonts w:ascii="Times New Roman" w:hAnsi="Times New Roman" w:cs="Times New Roman"/>
          <w:sz w:val="20"/>
          <w:szCs w:val="20"/>
          <w:lang w:val="en-US"/>
        </w:rPr>
        <w:t>,4</w:t>
      </w:r>
      <w:r w:rsidR="001710B0">
        <w:rPr>
          <w:rFonts w:ascii="Times New Roman" w:hAnsi="Times New Roman" w:cs="Times New Roman"/>
          <w:sz w:val="20"/>
          <w:szCs w:val="20"/>
          <w:lang w:val="en-US"/>
        </w:rPr>
        <w:t>1</w:t>
      </w:r>
      <w:r w:rsidR="000B6E1B">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w:t>
      </w:r>
      <w:r w:rsidR="00AC37DC" w:rsidRPr="008F23CC">
        <w:rPr>
          <w:rFonts w:ascii="Times New Roman" w:hAnsi="Times New Roman" w:cs="Times New Roman"/>
          <w:sz w:val="20"/>
          <w:szCs w:val="20"/>
          <w:lang w:val="en-US"/>
        </w:rPr>
        <w:t xml:space="preserve">AFC have failed to reach </w:t>
      </w:r>
      <w:r w:rsidR="006C17A0" w:rsidRPr="008F23CC">
        <w:rPr>
          <w:rFonts w:ascii="Times New Roman" w:hAnsi="Times New Roman" w:cs="Times New Roman"/>
          <w:sz w:val="20"/>
          <w:szCs w:val="20"/>
          <w:lang w:val="en-US"/>
        </w:rPr>
        <w:t>commercialization</w:t>
      </w:r>
      <w:r w:rsidR="00AC37DC" w:rsidRPr="008F23CC">
        <w:rPr>
          <w:rFonts w:ascii="Times New Roman" w:hAnsi="Times New Roman" w:cs="Times New Roman"/>
          <w:sz w:val="20"/>
          <w:szCs w:val="20"/>
          <w:lang w:val="en-US"/>
        </w:rPr>
        <w:t xml:space="preserve"> so far due to problems </w:t>
      </w:r>
      <w:r w:rsidR="006C17A0" w:rsidRPr="008F23CC">
        <w:rPr>
          <w:rFonts w:ascii="Times New Roman" w:hAnsi="Times New Roman" w:cs="Times New Roman"/>
          <w:sz w:val="20"/>
          <w:szCs w:val="20"/>
          <w:lang w:val="en-US"/>
        </w:rPr>
        <w:t>related to</w:t>
      </w:r>
      <w:r w:rsidR="00AC37DC" w:rsidRPr="008F23CC">
        <w:rPr>
          <w:rFonts w:ascii="Times New Roman" w:hAnsi="Times New Roman" w:cs="Times New Roman"/>
          <w:sz w:val="20"/>
          <w:szCs w:val="20"/>
          <w:lang w:val="en-US"/>
        </w:rPr>
        <w:t xml:space="preserve"> lifetime and CO</w:t>
      </w:r>
      <w:r w:rsidR="00AC37DC" w:rsidRPr="008F23CC">
        <w:rPr>
          <w:rFonts w:ascii="Times New Roman" w:hAnsi="Times New Roman" w:cs="Times New Roman"/>
          <w:sz w:val="20"/>
          <w:szCs w:val="20"/>
          <w:vertAlign w:val="subscript"/>
          <w:lang w:val="en-US"/>
        </w:rPr>
        <w:t>2</w:t>
      </w:r>
      <w:r w:rsidR="00AC37DC" w:rsidRPr="008F23CC">
        <w:rPr>
          <w:rFonts w:ascii="Times New Roman" w:hAnsi="Times New Roman" w:cs="Times New Roman"/>
          <w:sz w:val="20"/>
          <w:szCs w:val="20"/>
          <w:lang w:val="en-US"/>
        </w:rPr>
        <w:t xml:space="preserve"> degradation [</w:t>
      </w:r>
      <w:r w:rsidR="000B6E1B">
        <w:rPr>
          <w:rFonts w:ascii="Times New Roman" w:hAnsi="Times New Roman" w:cs="Times New Roman"/>
          <w:sz w:val="20"/>
          <w:szCs w:val="20"/>
          <w:lang w:val="en-US"/>
        </w:rPr>
        <w:t>3</w:t>
      </w:r>
      <w:r w:rsidR="001710B0">
        <w:rPr>
          <w:rFonts w:ascii="Times New Roman" w:hAnsi="Times New Roman" w:cs="Times New Roman"/>
          <w:sz w:val="20"/>
          <w:szCs w:val="20"/>
          <w:lang w:val="en-US"/>
        </w:rPr>
        <w:t>9</w:t>
      </w:r>
      <w:r w:rsidR="000B6E1B">
        <w:rPr>
          <w:rFonts w:ascii="Times New Roman" w:hAnsi="Times New Roman" w:cs="Times New Roman"/>
          <w:sz w:val="20"/>
          <w:szCs w:val="20"/>
          <w:lang w:val="en-US"/>
        </w:rPr>
        <w:t>,</w:t>
      </w:r>
      <w:r w:rsidR="001710B0">
        <w:rPr>
          <w:rFonts w:ascii="Times New Roman" w:hAnsi="Times New Roman" w:cs="Times New Roman"/>
          <w:sz w:val="20"/>
          <w:szCs w:val="20"/>
          <w:lang w:val="en-US"/>
        </w:rPr>
        <w:t>40</w:t>
      </w:r>
      <w:r w:rsidR="00AC37DC" w:rsidRPr="008F23CC">
        <w:rPr>
          <w:rFonts w:ascii="Times New Roman" w:hAnsi="Times New Roman" w:cs="Times New Roman"/>
          <w:sz w:val="20"/>
          <w:szCs w:val="20"/>
          <w:lang w:val="en-US"/>
        </w:rPr>
        <w:t xml:space="preserve">]. </w:t>
      </w:r>
      <w:r w:rsidR="00E20A9D" w:rsidRPr="008F23CC">
        <w:rPr>
          <w:rFonts w:ascii="Times New Roman" w:hAnsi="Times New Roman" w:cs="Times New Roman"/>
          <w:sz w:val="20"/>
          <w:szCs w:val="20"/>
          <w:lang w:val="en-US"/>
        </w:rPr>
        <w:t>D</w:t>
      </w:r>
      <w:r w:rsidR="002B0B50" w:rsidRPr="008F23CC">
        <w:rPr>
          <w:rFonts w:ascii="Times New Roman" w:hAnsi="Times New Roman" w:cs="Times New Roman"/>
          <w:sz w:val="20"/>
          <w:szCs w:val="20"/>
          <w:lang w:val="en-US"/>
        </w:rPr>
        <w:t xml:space="preserve">egradation </w:t>
      </w:r>
      <w:r w:rsidR="00E20A9D" w:rsidRPr="008F23CC">
        <w:rPr>
          <w:rFonts w:ascii="Times New Roman" w:hAnsi="Times New Roman" w:cs="Times New Roman"/>
          <w:sz w:val="20"/>
          <w:szCs w:val="20"/>
          <w:lang w:val="en-US"/>
        </w:rPr>
        <w:t xml:space="preserve">ranges between </w:t>
      </w:r>
      <w:r w:rsidR="00041D0D" w:rsidRPr="008F23CC">
        <w:rPr>
          <w:rFonts w:ascii="Times New Roman" w:hAnsi="Times New Roman" w:cs="Times New Roman"/>
          <w:sz w:val="20"/>
          <w:szCs w:val="20"/>
          <w:lang w:val="en-US"/>
        </w:rPr>
        <w:t>16</w:t>
      </w:r>
      <w:r w:rsidR="00E20A9D" w:rsidRPr="008F23CC">
        <w:rPr>
          <w:rFonts w:ascii="Times New Roman" w:hAnsi="Times New Roman" w:cs="Times New Roman"/>
          <w:sz w:val="20"/>
          <w:szCs w:val="20"/>
          <w:lang w:val="en-US"/>
        </w:rPr>
        <w:t xml:space="preserve">0 – </w:t>
      </w:r>
      <w:r w:rsidR="00041D0D" w:rsidRPr="008F23CC">
        <w:rPr>
          <w:rFonts w:ascii="Times New Roman" w:hAnsi="Times New Roman" w:cs="Times New Roman"/>
          <w:sz w:val="20"/>
          <w:szCs w:val="20"/>
          <w:lang w:val="en-US"/>
        </w:rPr>
        <w:t>200</w:t>
      </w:r>
      <w:r w:rsidR="002B0B50" w:rsidRPr="008F23CC">
        <w:rPr>
          <w:rFonts w:ascii="Times New Roman" w:hAnsi="Times New Roman" w:cs="Times New Roman"/>
          <w:sz w:val="20"/>
          <w:szCs w:val="20"/>
          <w:lang w:val="en-US"/>
        </w:rPr>
        <w:t xml:space="preserve"> mV/</w:t>
      </w:r>
      <w:r w:rsidR="00041D0D" w:rsidRPr="008F23CC">
        <w:rPr>
          <w:rFonts w:ascii="Times New Roman" w:hAnsi="Times New Roman" w:cs="Times New Roman"/>
          <w:sz w:val="20"/>
          <w:szCs w:val="20"/>
          <w:lang w:val="en-US"/>
        </w:rPr>
        <w:t>a, and lifetimes of</w:t>
      </w:r>
      <w:r w:rsidR="002B0B50" w:rsidRPr="008F23CC">
        <w:rPr>
          <w:rFonts w:ascii="Times New Roman" w:hAnsi="Times New Roman" w:cs="Times New Roman"/>
          <w:sz w:val="20"/>
          <w:szCs w:val="20"/>
          <w:lang w:val="en-US"/>
        </w:rPr>
        <w:t xml:space="preserve"> </w:t>
      </w:r>
      <w:r w:rsidR="00041D0D" w:rsidRPr="008F23CC">
        <w:rPr>
          <w:rFonts w:ascii="Times New Roman" w:hAnsi="Times New Roman" w:cs="Times New Roman"/>
          <w:sz w:val="20"/>
          <w:szCs w:val="20"/>
          <w:lang w:val="en-US"/>
        </w:rPr>
        <w:t>4 – 10 thousand</w:t>
      </w:r>
      <w:r w:rsidR="002B0B50" w:rsidRPr="008F23CC">
        <w:rPr>
          <w:rFonts w:ascii="Times New Roman" w:hAnsi="Times New Roman" w:cs="Times New Roman"/>
          <w:sz w:val="20"/>
          <w:szCs w:val="20"/>
          <w:lang w:val="en-US"/>
        </w:rPr>
        <w:t xml:space="preserve"> hours</w:t>
      </w:r>
      <w:r w:rsidR="00041D0D" w:rsidRPr="008F23CC">
        <w:rPr>
          <w:rFonts w:ascii="Times New Roman" w:hAnsi="Times New Roman" w:cs="Times New Roman"/>
          <w:sz w:val="20"/>
          <w:szCs w:val="20"/>
          <w:lang w:val="en-US"/>
        </w:rPr>
        <w:t xml:space="preserve"> (half to one year) have been </w:t>
      </w:r>
      <w:r w:rsidR="00041D0D" w:rsidRPr="002647F4">
        <w:rPr>
          <w:rFonts w:ascii="Times New Roman" w:hAnsi="Times New Roman" w:cs="Times New Roman"/>
          <w:color w:val="000000" w:themeColor="text1"/>
          <w:sz w:val="20"/>
          <w:szCs w:val="20"/>
          <w:lang w:val="en-US"/>
        </w:rPr>
        <w:t>demonstrated</w:t>
      </w:r>
      <w:r w:rsidR="002B0B50" w:rsidRPr="002647F4">
        <w:rPr>
          <w:rFonts w:ascii="Times New Roman" w:hAnsi="Times New Roman" w:cs="Times New Roman"/>
          <w:color w:val="000000" w:themeColor="text1"/>
          <w:sz w:val="20"/>
          <w:szCs w:val="20"/>
          <w:lang w:val="en-US"/>
        </w:rPr>
        <w:t xml:space="preserve"> </w:t>
      </w:r>
      <w:r w:rsidR="000B6E1B" w:rsidRPr="002647F4">
        <w:rPr>
          <w:rFonts w:ascii="Times New Roman" w:hAnsi="Times New Roman" w:cs="Times New Roman"/>
          <w:color w:val="000000" w:themeColor="text1"/>
          <w:sz w:val="20"/>
          <w:szCs w:val="20"/>
          <w:lang w:val="en-US"/>
        </w:rPr>
        <w:t>[</w:t>
      </w:r>
      <w:r w:rsidR="002647F4" w:rsidRPr="002647F4">
        <w:rPr>
          <w:rFonts w:ascii="Times New Roman" w:hAnsi="Times New Roman" w:cs="Times New Roman"/>
          <w:color w:val="000000" w:themeColor="text1"/>
          <w:sz w:val="20"/>
          <w:szCs w:val="20"/>
          <w:lang w:val="en-US"/>
        </w:rPr>
        <w:t>35</w:t>
      </w:r>
      <w:r w:rsidR="00041D0D" w:rsidRPr="002647F4">
        <w:rPr>
          <w:rFonts w:ascii="Times New Roman" w:hAnsi="Times New Roman" w:cs="Times New Roman"/>
          <w:color w:val="000000" w:themeColor="text1"/>
          <w:sz w:val="20"/>
          <w:szCs w:val="20"/>
          <w:lang w:val="en-US"/>
        </w:rPr>
        <w:t>,</w:t>
      </w:r>
      <w:r w:rsidR="000B6E1B" w:rsidRPr="002647F4">
        <w:rPr>
          <w:rFonts w:ascii="Times New Roman" w:hAnsi="Times New Roman" w:cs="Times New Roman"/>
          <w:color w:val="000000" w:themeColor="text1"/>
          <w:sz w:val="20"/>
          <w:szCs w:val="20"/>
          <w:lang w:val="en-US"/>
        </w:rPr>
        <w:t>4</w:t>
      </w:r>
      <w:r w:rsidR="001710B0" w:rsidRPr="002647F4">
        <w:rPr>
          <w:rFonts w:ascii="Times New Roman" w:hAnsi="Times New Roman" w:cs="Times New Roman"/>
          <w:color w:val="000000" w:themeColor="text1"/>
          <w:sz w:val="20"/>
          <w:szCs w:val="20"/>
          <w:lang w:val="en-US"/>
        </w:rPr>
        <w:t>1</w:t>
      </w:r>
      <w:r w:rsidR="000B6E1B" w:rsidRPr="002647F4">
        <w:rPr>
          <w:rFonts w:ascii="Times New Roman" w:hAnsi="Times New Roman" w:cs="Times New Roman"/>
          <w:color w:val="000000" w:themeColor="text1"/>
          <w:sz w:val="20"/>
          <w:szCs w:val="20"/>
          <w:lang w:val="en-US"/>
        </w:rPr>
        <w:t>]</w:t>
      </w:r>
      <w:r w:rsidR="002B0B50" w:rsidRPr="002647F4">
        <w:rPr>
          <w:rFonts w:ascii="Times New Roman" w:hAnsi="Times New Roman" w:cs="Times New Roman"/>
          <w:color w:val="000000" w:themeColor="text1"/>
          <w:sz w:val="20"/>
          <w:szCs w:val="20"/>
          <w:lang w:val="en-US"/>
        </w:rPr>
        <w:t xml:space="preserve">. </w:t>
      </w:r>
      <w:r w:rsidR="00041D0D" w:rsidRPr="002647F4">
        <w:rPr>
          <w:rFonts w:ascii="Times New Roman" w:hAnsi="Times New Roman" w:cs="Times New Roman"/>
          <w:color w:val="000000" w:themeColor="text1"/>
          <w:sz w:val="20"/>
          <w:szCs w:val="20"/>
          <w:lang w:val="en-US"/>
        </w:rPr>
        <w:t>However</w:t>
      </w:r>
      <w:r w:rsidR="00AC37DC" w:rsidRPr="002647F4">
        <w:rPr>
          <w:rFonts w:ascii="Times New Roman" w:hAnsi="Times New Roman" w:cs="Times New Roman"/>
          <w:color w:val="000000" w:themeColor="text1"/>
          <w:sz w:val="20"/>
          <w:szCs w:val="20"/>
          <w:lang w:val="en-US"/>
        </w:rPr>
        <w:t>,</w:t>
      </w:r>
      <w:r w:rsidR="00041D0D" w:rsidRPr="002647F4">
        <w:rPr>
          <w:rFonts w:ascii="Times New Roman" w:hAnsi="Times New Roman" w:cs="Times New Roman"/>
          <w:color w:val="000000" w:themeColor="text1"/>
          <w:sz w:val="20"/>
          <w:szCs w:val="20"/>
          <w:lang w:val="en-US"/>
        </w:rPr>
        <w:t xml:space="preserve"> the average stack life</w:t>
      </w:r>
      <w:r w:rsidR="00AC37DC" w:rsidRPr="002647F4">
        <w:rPr>
          <w:rFonts w:ascii="Times New Roman" w:hAnsi="Times New Roman" w:cs="Times New Roman"/>
          <w:color w:val="000000" w:themeColor="text1"/>
          <w:sz w:val="20"/>
          <w:szCs w:val="20"/>
          <w:lang w:val="en-US"/>
        </w:rPr>
        <w:t>time</w:t>
      </w:r>
      <w:r w:rsidR="00041D0D" w:rsidRPr="002647F4">
        <w:rPr>
          <w:rFonts w:ascii="Times New Roman" w:hAnsi="Times New Roman" w:cs="Times New Roman"/>
          <w:color w:val="000000" w:themeColor="text1"/>
          <w:sz w:val="20"/>
          <w:szCs w:val="20"/>
          <w:lang w:val="en-US"/>
        </w:rPr>
        <w:t xml:space="preserve"> does not exceed </w:t>
      </w:r>
      <w:r w:rsidR="00AC37DC" w:rsidRPr="002647F4">
        <w:rPr>
          <w:rFonts w:ascii="Times New Roman" w:hAnsi="Times New Roman" w:cs="Times New Roman"/>
          <w:color w:val="000000" w:themeColor="text1"/>
          <w:sz w:val="20"/>
          <w:szCs w:val="20"/>
          <w:lang w:val="en-US"/>
        </w:rPr>
        <w:t>4</w:t>
      </w:r>
      <w:r w:rsidR="00041D0D" w:rsidRPr="002647F4">
        <w:rPr>
          <w:rFonts w:ascii="Times New Roman" w:hAnsi="Times New Roman" w:cs="Times New Roman"/>
          <w:color w:val="000000" w:themeColor="text1"/>
          <w:sz w:val="20"/>
          <w:szCs w:val="20"/>
          <w:lang w:val="en-US"/>
        </w:rPr>
        <w:t>,000 hours</w:t>
      </w:r>
      <w:r w:rsidR="00AC37DC" w:rsidRPr="002647F4">
        <w:rPr>
          <w:rFonts w:ascii="Times New Roman" w:hAnsi="Times New Roman" w:cs="Times New Roman"/>
          <w:color w:val="000000" w:themeColor="text1"/>
          <w:sz w:val="20"/>
          <w:szCs w:val="20"/>
          <w:lang w:val="en-US"/>
        </w:rPr>
        <w:t xml:space="preserve"> [</w:t>
      </w:r>
      <w:r w:rsidR="000B6E1B" w:rsidRPr="002647F4">
        <w:rPr>
          <w:rFonts w:ascii="Times New Roman" w:hAnsi="Times New Roman" w:cs="Times New Roman"/>
          <w:color w:val="000000" w:themeColor="text1"/>
          <w:sz w:val="20"/>
          <w:szCs w:val="20"/>
          <w:lang w:val="en-US"/>
        </w:rPr>
        <w:t>1,4</w:t>
      </w:r>
      <w:r w:rsidR="001710B0" w:rsidRPr="002647F4">
        <w:rPr>
          <w:rFonts w:ascii="Times New Roman" w:hAnsi="Times New Roman" w:cs="Times New Roman"/>
          <w:color w:val="000000" w:themeColor="text1"/>
          <w:sz w:val="20"/>
          <w:szCs w:val="20"/>
          <w:lang w:val="en-US"/>
        </w:rPr>
        <w:t>2</w:t>
      </w:r>
      <w:r w:rsidR="00AC37DC" w:rsidRPr="002647F4">
        <w:rPr>
          <w:rFonts w:ascii="Times New Roman" w:hAnsi="Times New Roman" w:cs="Times New Roman"/>
          <w:color w:val="000000" w:themeColor="text1"/>
          <w:sz w:val="20"/>
          <w:szCs w:val="20"/>
          <w:lang w:val="en-US"/>
        </w:rPr>
        <w:t>]</w:t>
      </w:r>
      <w:r w:rsidR="00041D0D" w:rsidRPr="002647F4">
        <w:rPr>
          <w:rFonts w:ascii="Times New Roman" w:hAnsi="Times New Roman" w:cs="Times New Roman"/>
          <w:color w:val="000000" w:themeColor="text1"/>
          <w:sz w:val="20"/>
          <w:szCs w:val="20"/>
          <w:lang w:val="en-US"/>
        </w:rPr>
        <w:t xml:space="preserve">. </w:t>
      </w:r>
      <w:r w:rsidR="002B0B50" w:rsidRPr="002647F4">
        <w:rPr>
          <w:rFonts w:ascii="Times New Roman" w:hAnsi="Times New Roman" w:cs="Times New Roman"/>
          <w:color w:val="000000" w:themeColor="text1"/>
          <w:sz w:val="20"/>
          <w:szCs w:val="20"/>
          <w:lang w:val="en-US"/>
        </w:rPr>
        <w:t>For large scale applications,</w:t>
      </w:r>
      <w:r w:rsidRPr="002647F4">
        <w:rPr>
          <w:rFonts w:ascii="Times New Roman" w:hAnsi="Times New Roman" w:cs="Times New Roman"/>
          <w:color w:val="000000" w:themeColor="text1"/>
          <w:sz w:val="20"/>
          <w:szCs w:val="20"/>
          <w:lang w:val="en-US"/>
        </w:rPr>
        <w:t xml:space="preserve"> </w:t>
      </w:r>
      <w:r w:rsidR="002B0B50" w:rsidRPr="002647F4">
        <w:rPr>
          <w:rFonts w:ascii="Times New Roman" w:hAnsi="Times New Roman" w:cs="Times New Roman"/>
          <w:color w:val="000000" w:themeColor="text1"/>
          <w:sz w:val="20"/>
          <w:szCs w:val="20"/>
          <w:lang w:val="en-US"/>
        </w:rPr>
        <w:t>economics</w:t>
      </w:r>
      <w:r w:rsidR="002B0B50" w:rsidRPr="008F23CC">
        <w:rPr>
          <w:rFonts w:ascii="Times New Roman" w:hAnsi="Times New Roman" w:cs="Times New Roman"/>
          <w:sz w:val="20"/>
          <w:szCs w:val="20"/>
          <w:lang w:val="en-US"/>
        </w:rPr>
        <w:t xml:space="preserve"> demand operating times exceeding 40,000 hours, </w:t>
      </w:r>
      <w:r w:rsidR="00041D0D" w:rsidRPr="008F23CC">
        <w:rPr>
          <w:rFonts w:ascii="Times New Roman" w:hAnsi="Times New Roman" w:cs="Times New Roman"/>
          <w:sz w:val="20"/>
          <w:szCs w:val="20"/>
          <w:lang w:val="en-US"/>
        </w:rPr>
        <w:t>imposing</w:t>
      </w:r>
      <w:r w:rsidR="002B0B50" w:rsidRPr="008F23CC">
        <w:rPr>
          <w:rFonts w:ascii="Times New Roman" w:hAnsi="Times New Roman" w:cs="Times New Roman"/>
          <w:sz w:val="20"/>
          <w:szCs w:val="20"/>
          <w:lang w:val="en-US"/>
        </w:rPr>
        <w:t xml:space="preserve"> the most</w:t>
      </w:r>
      <w:r w:rsidRPr="008F23CC">
        <w:rPr>
          <w:rFonts w:ascii="Times New Roman" w:hAnsi="Times New Roman" w:cs="Times New Roman"/>
          <w:sz w:val="20"/>
          <w:szCs w:val="20"/>
          <w:lang w:val="en-US"/>
        </w:rPr>
        <w:t xml:space="preserve"> </w:t>
      </w:r>
      <w:r w:rsidR="002B0B50" w:rsidRPr="008F23CC">
        <w:rPr>
          <w:rFonts w:ascii="Times New Roman" w:hAnsi="Times New Roman" w:cs="Times New Roman"/>
          <w:sz w:val="20"/>
          <w:szCs w:val="20"/>
          <w:lang w:val="en-US"/>
        </w:rPr>
        <w:t xml:space="preserve">significant obstacle to </w:t>
      </w:r>
      <w:r w:rsidR="00041D0D" w:rsidRPr="008F23CC">
        <w:rPr>
          <w:rFonts w:ascii="Times New Roman" w:hAnsi="Times New Roman" w:cs="Times New Roman"/>
          <w:sz w:val="20"/>
          <w:szCs w:val="20"/>
          <w:lang w:val="en-US"/>
        </w:rPr>
        <w:t xml:space="preserve">AFCs </w:t>
      </w:r>
      <w:r w:rsidR="002B0B50" w:rsidRPr="008F23CC">
        <w:rPr>
          <w:rFonts w:ascii="Times New Roman" w:hAnsi="Times New Roman" w:cs="Times New Roman"/>
          <w:sz w:val="20"/>
          <w:szCs w:val="20"/>
          <w:lang w:val="en-US"/>
        </w:rPr>
        <w:t>commercialization</w:t>
      </w:r>
      <w:r w:rsidR="00AC37DC"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1</w:t>
      </w:r>
      <w:r w:rsidR="00AC37DC" w:rsidRPr="008F23CC">
        <w:rPr>
          <w:rFonts w:ascii="Times New Roman" w:hAnsi="Times New Roman" w:cs="Times New Roman"/>
          <w:sz w:val="20"/>
          <w:szCs w:val="20"/>
          <w:lang w:val="en-US"/>
        </w:rPr>
        <w:t>]</w:t>
      </w:r>
      <w:r w:rsidR="00537BA8" w:rsidRPr="008F23CC">
        <w:rPr>
          <w:rFonts w:ascii="Times New Roman" w:hAnsi="Times New Roman" w:cs="Times New Roman"/>
          <w:sz w:val="20"/>
          <w:szCs w:val="20"/>
          <w:lang w:val="en-US"/>
        </w:rPr>
        <w:t>.</w:t>
      </w:r>
    </w:p>
    <w:p w:rsidR="00F34F01" w:rsidRPr="008F23CC" w:rsidRDefault="00F34F01"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7D4BE9" w:rsidRPr="008F23CC" w:rsidRDefault="007D4BE9" w:rsidP="003066A0">
      <w:pPr>
        <w:widowControl w:val="0"/>
        <w:autoSpaceDE w:val="0"/>
        <w:autoSpaceDN w:val="0"/>
        <w:adjustRightInd w:val="0"/>
        <w:spacing w:after="0" w:line="240" w:lineRule="auto"/>
        <w:jc w:val="both"/>
        <w:rPr>
          <w:rFonts w:ascii="Times New Roman" w:hAnsi="Times New Roman" w:cs="Times New Roman"/>
          <w:bCs/>
          <w:iCs/>
          <w:sz w:val="20"/>
          <w:szCs w:val="20"/>
          <w:lang w:val="en-US"/>
        </w:rPr>
      </w:pPr>
    </w:p>
    <w:p w:rsidR="00764023" w:rsidRPr="00936ADD" w:rsidRDefault="00272FC0" w:rsidP="003066A0">
      <w:pPr>
        <w:widowControl w:val="0"/>
        <w:autoSpaceDE w:val="0"/>
        <w:autoSpaceDN w:val="0"/>
        <w:adjustRightInd w:val="0"/>
        <w:spacing w:after="0" w:line="240" w:lineRule="auto"/>
        <w:jc w:val="both"/>
        <w:rPr>
          <w:rFonts w:ascii="Times New Roman" w:hAnsi="Times New Roman" w:cs="Times New Roman"/>
          <w:b/>
          <w:sz w:val="24"/>
          <w:szCs w:val="24"/>
          <w:lang w:val="en-US"/>
        </w:rPr>
      </w:pPr>
      <w:r w:rsidRPr="00936ADD">
        <w:rPr>
          <w:rFonts w:ascii="Times New Roman" w:hAnsi="Times New Roman" w:cs="Times New Roman"/>
          <w:b/>
          <w:sz w:val="24"/>
          <w:szCs w:val="24"/>
          <w:lang w:val="en-US"/>
        </w:rPr>
        <w:t>4</w:t>
      </w:r>
      <w:r w:rsidR="0064249C" w:rsidRPr="00936ADD">
        <w:rPr>
          <w:rFonts w:ascii="Times New Roman" w:hAnsi="Times New Roman" w:cs="Times New Roman"/>
          <w:b/>
          <w:sz w:val="24"/>
          <w:szCs w:val="24"/>
          <w:lang w:val="en-US"/>
        </w:rPr>
        <w:t>.</w:t>
      </w:r>
      <w:r w:rsidR="005F0129" w:rsidRPr="00936ADD">
        <w:rPr>
          <w:rFonts w:ascii="Times New Roman" w:hAnsi="Times New Roman" w:cs="Times New Roman"/>
          <w:b/>
          <w:sz w:val="24"/>
          <w:szCs w:val="24"/>
          <w:lang w:val="en-US"/>
        </w:rPr>
        <w:t xml:space="preserve"> </w:t>
      </w:r>
      <w:r w:rsidR="00C02FC5" w:rsidRPr="00936ADD">
        <w:rPr>
          <w:rFonts w:ascii="Times New Roman" w:hAnsi="Times New Roman" w:cs="Times New Roman"/>
          <w:b/>
          <w:sz w:val="24"/>
          <w:szCs w:val="24"/>
          <w:lang w:val="en-US"/>
        </w:rPr>
        <w:t xml:space="preserve">Fuel Cell </w:t>
      </w:r>
      <w:r w:rsidR="00593309" w:rsidRPr="00936ADD">
        <w:rPr>
          <w:rFonts w:ascii="Times New Roman" w:hAnsi="Times New Roman" w:cs="Times New Roman"/>
          <w:b/>
          <w:sz w:val="24"/>
          <w:szCs w:val="24"/>
          <w:lang w:val="en-US"/>
        </w:rPr>
        <w:t xml:space="preserve">Cost Considerations and </w:t>
      </w:r>
      <w:r w:rsidR="00764023" w:rsidRPr="00936ADD">
        <w:rPr>
          <w:rFonts w:ascii="Times New Roman" w:hAnsi="Times New Roman" w:cs="Times New Roman"/>
          <w:b/>
          <w:sz w:val="24"/>
          <w:szCs w:val="24"/>
          <w:lang w:val="en-US"/>
        </w:rPr>
        <w:t xml:space="preserve">Market </w:t>
      </w:r>
      <w:r w:rsidR="005F0129" w:rsidRPr="00936ADD">
        <w:rPr>
          <w:rFonts w:ascii="Times New Roman" w:hAnsi="Times New Roman" w:cs="Times New Roman"/>
          <w:b/>
          <w:sz w:val="24"/>
          <w:szCs w:val="24"/>
          <w:lang w:val="en-US"/>
        </w:rPr>
        <w:t xml:space="preserve">Development </w:t>
      </w:r>
    </w:p>
    <w:p w:rsidR="00B86410" w:rsidRPr="008F23CC" w:rsidRDefault="00B86410"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5D58E0" w:rsidRPr="008F23CC" w:rsidRDefault="005D58E0" w:rsidP="00747BD4">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As </w:t>
      </w:r>
      <w:r w:rsidR="00544412" w:rsidRPr="008F23CC">
        <w:rPr>
          <w:rFonts w:ascii="Times New Roman" w:hAnsi="Times New Roman" w:cs="Times New Roman"/>
          <w:sz w:val="20"/>
          <w:szCs w:val="20"/>
          <w:lang w:val="en-US"/>
        </w:rPr>
        <w:t>a</w:t>
      </w:r>
      <w:r w:rsidRPr="008F23CC">
        <w:rPr>
          <w:rFonts w:ascii="Times New Roman" w:hAnsi="Times New Roman" w:cs="Times New Roman"/>
          <w:sz w:val="20"/>
          <w:szCs w:val="20"/>
          <w:lang w:val="en-US"/>
        </w:rPr>
        <w:t xml:space="preserve"> </w:t>
      </w:r>
      <w:r w:rsidR="009923F8" w:rsidRPr="008F23CC">
        <w:rPr>
          <w:rFonts w:ascii="Times New Roman" w:hAnsi="Times New Roman" w:cs="Times New Roman"/>
          <w:sz w:val="20"/>
          <w:szCs w:val="20"/>
          <w:lang w:val="en-US"/>
        </w:rPr>
        <w:t xml:space="preserve">potential </w:t>
      </w:r>
      <w:r w:rsidRPr="008F23CC">
        <w:rPr>
          <w:rFonts w:ascii="Times New Roman" w:hAnsi="Times New Roman" w:cs="Times New Roman"/>
          <w:sz w:val="20"/>
          <w:szCs w:val="20"/>
          <w:lang w:val="en-US"/>
        </w:rPr>
        <w:t xml:space="preserve">new product, </w:t>
      </w:r>
      <w:r w:rsidR="00A3331A" w:rsidRPr="008F23CC">
        <w:rPr>
          <w:rFonts w:ascii="Times New Roman" w:hAnsi="Times New Roman" w:cs="Times New Roman"/>
          <w:sz w:val="20"/>
          <w:szCs w:val="20"/>
          <w:lang w:val="en-US"/>
        </w:rPr>
        <w:t xml:space="preserve">the </w:t>
      </w:r>
      <w:r w:rsidRPr="008F23CC">
        <w:rPr>
          <w:rFonts w:ascii="Times New Roman" w:hAnsi="Times New Roman" w:cs="Times New Roman"/>
          <w:sz w:val="20"/>
          <w:szCs w:val="20"/>
          <w:lang w:val="en-US"/>
        </w:rPr>
        <w:t xml:space="preserve">cost of ownership and operation will be critical </w:t>
      </w:r>
      <w:r w:rsidR="00544412" w:rsidRPr="008F23CC">
        <w:rPr>
          <w:rFonts w:ascii="Times New Roman" w:hAnsi="Times New Roman" w:cs="Times New Roman"/>
          <w:sz w:val="20"/>
          <w:szCs w:val="20"/>
          <w:lang w:val="en-US"/>
        </w:rPr>
        <w:t>for</w:t>
      </w:r>
      <w:r w:rsidRPr="008F23CC">
        <w:rPr>
          <w:rFonts w:ascii="Times New Roman" w:hAnsi="Times New Roman" w:cs="Times New Roman"/>
          <w:sz w:val="20"/>
          <w:szCs w:val="20"/>
          <w:lang w:val="en-US"/>
        </w:rPr>
        <w:t xml:space="preserve"> </w:t>
      </w:r>
      <w:r w:rsidR="00A3331A" w:rsidRPr="008F23CC">
        <w:rPr>
          <w:rFonts w:ascii="Times New Roman" w:hAnsi="Times New Roman" w:cs="Times New Roman"/>
          <w:sz w:val="20"/>
          <w:szCs w:val="20"/>
          <w:lang w:val="en-US"/>
        </w:rPr>
        <w:t xml:space="preserve">fuel cells </w:t>
      </w:r>
      <w:r w:rsidRPr="008F23CC">
        <w:rPr>
          <w:rFonts w:ascii="Times New Roman" w:hAnsi="Times New Roman" w:cs="Times New Roman"/>
          <w:sz w:val="20"/>
          <w:szCs w:val="20"/>
          <w:lang w:val="en-US"/>
        </w:rPr>
        <w:t>commercialization.</w:t>
      </w:r>
      <w:r w:rsidR="009437BF" w:rsidRPr="008F23CC">
        <w:rPr>
          <w:rFonts w:ascii="Times New Roman" w:hAnsi="Times New Roman" w:cs="Times New Roman"/>
          <w:sz w:val="20"/>
          <w:szCs w:val="20"/>
          <w:lang w:val="en-US"/>
        </w:rPr>
        <w:t xml:space="preserve"> </w:t>
      </w:r>
      <w:r w:rsidR="00544412" w:rsidRPr="008F23CC">
        <w:rPr>
          <w:rFonts w:ascii="Times New Roman" w:hAnsi="Times New Roman" w:cs="Times New Roman"/>
          <w:sz w:val="20"/>
          <w:szCs w:val="20"/>
          <w:lang w:val="en-US"/>
        </w:rPr>
        <w:t>Th</w:t>
      </w:r>
      <w:r w:rsidR="00A3331A" w:rsidRPr="008F23CC">
        <w:rPr>
          <w:rFonts w:ascii="Times New Roman" w:hAnsi="Times New Roman" w:cs="Times New Roman"/>
          <w:sz w:val="20"/>
          <w:szCs w:val="20"/>
          <w:lang w:val="en-US"/>
        </w:rPr>
        <w:t>i</w:t>
      </w:r>
      <w:r w:rsidR="00544412"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total cost </w:t>
      </w:r>
      <w:r w:rsidR="00544412" w:rsidRPr="008F23CC">
        <w:rPr>
          <w:rFonts w:ascii="Times New Roman" w:hAnsi="Times New Roman" w:cs="Times New Roman"/>
          <w:sz w:val="20"/>
          <w:szCs w:val="20"/>
          <w:lang w:val="en-US"/>
        </w:rPr>
        <w:t>can be split down to</w:t>
      </w:r>
      <w:r w:rsidRPr="008F23CC">
        <w:rPr>
          <w:rFonts w:ascii="Times New Roman" w:hAnsi="Times New Roman" w:cs="Times New Roman"/>
          <w:sz w:val="20"/>
          <w:szCs w:val="20"/>
          <w:lang w:val="en-US"/>
        </w:rPr>
        <w:t xml:space="preserve"> fuel </w:t>
      </w:r>
      <w:r w:rsidR="00544412" w:rsidRPr="008F23CC">
        <w:rPr>
          <w:rFonts w:ascii="Times New Roman" w:hAnsi="Times New Roman" w:cs="Times New Roman"/>
          <w:sz w:val="20"/>
          <w:szCs w:val="20"/>
          <w:lang w:val="en-US"/>
        </w:rPr>
        <w:t>and other operating costs</w:t>
      </w:r>
      <w:r w:rsidRPr="008F23CC">
        <w:rPr>
          <w:rFonts w:ascii="Times New Roman" w:hAnsi="Times New Roman" w:cs="Times New Roman"/>
          <w:sz w:val="20"/>
          <w:szCs w:val="20"/>
          <w:lang w:val="en-US"/>
        </w:rPr>
        <w:t xml:space="preserve"> and</w:t>
      </w:r>
      <w:r w:rsidR="009437BF"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the </w:t>
      </w:r>
      <w:r w:rsidR="005A66F9" w:rsidRPr="008F23CC">
        <w:rPr>
          <w:rFonts w:ascii="Times New Roman" w:hAnsi="Times New Roman" w:cs="Times New Roman"/>
          <w:sz w:val="20"/>
          <w:szCs w:val="20"/>
          <w:lang w:val="en-US"/>
        </w:rPr>
        <w:t>initial capital</w:t>
      </w:r>
      <w:r w:rsidRPr="008F23CC">
        <w:rPr>
          <w:rFonts w:ascii="Times New Roman" w:hAnsi="Times New Roman" w:cs="Times New Roman"/>
          <w:sz w:val="20"/>
          <w:szCs w:val="20"/>
          <w:lang w:val="en-US"/>
        </w:rPr>
        <w:t xml:space="preserve"> cost. The main component of </w:t>
      </w:r>
      <w:r w:rsidR="005A66F9" w:rsidRPr="008F23CC">
        <w:rPr>
          <w:rFonts w:ascii="Times New Roman" w:hAnsi="Times New Roman" w:cs="Times New Roman"/>
          <w:sz w:val="20"/>
          <w:szCs w:val="20"/>
          <w:lang w:val="en-US"/>
        </w:rPr>
        <w:t>th</w:t>
      </w:r>
      <w:r w:rsidR="00A3331A" w:rsidRPr="008F23CC">
        <w:rPr>
          <w:rFonts w:ascii="Times New Roman" w:hAnsi="Times New Roman" w:cs="Times New Roman"/>
          <w:sz w:val="20"/>
          <w:szCs w:val="20"/>
          <w:lang w:val="en-US"/>
        </w:rPr>
        <w:t>e</w:t>
      </w:r>
      <w:r w:rsidR="005A66F9" w:rsidRPr="008F23CC">
        <w:rPr>
          <w:rFonts w:ascii="Times New Roman" w:hAnsi="Times New Roman" w:cs="Times New Roman"/>
          <w:sz w:val="20"/>
          <w:szCs w:val="20"/>
          <w:lang w:val="en-US"/>
        </w:rPr>
        <w:t xml:space="preserve"> initial</w:t>
      </w:r>
      <w:r w:rsidRPr="008F23CC">
        <w:rPr>
          <w:rFonts w:ascii="Times New Roman" w:hAnsi="Times New Roman" w:cs="Times New Roman"/>
          <w:sz w:val="20"/>
          <w:szCs w:val="20"/>
          <w:lang w:val="en-US"/>
        </w:rPr>
        <w:t xml:space="preserve"> cost is the manufacturing cost, which is strongly related</w:t>
      </w:r>
      <w:r w:rsidR="009437BF"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to</w:t>
      </w:r>
      <w:r w:rsidR="009437BF" w:rsidRPr="008F23CC">
        <w:rPr>
          <w:rFonts w:ascii="Times New Roman" w:hAnsi="Times New Roman" w:cs="Times New Roman"/>
          <w:sz w:val="20"/>
          <w:szCs w:val="20"/>
          <w:lang w:val="en-US"/>
        </w:rPr>
        <w:t xml:space="preserve"> </w:t>
      </w:r>
      <w:r w:rsidR="00365F47" w:rsidRPr="008F23CC">
        <w:rPr>
          <w:rFonts w:ascii="Times New Roman" w:hAnsi="Times New Roman" w:cs="Times New Roman"/>
          <w:sz w:val="20"/>
          <w:szCs w:val="20"/>
          <w:lang w:val="en-US"/>
        </w:rPr>
        <w:t xml:space="preserve">the production </w:t>
      </w:r>
      <w:r w:rsidR="000759DC" w:rsidRPr="008F23CC">
        <w:rPr>
          <w:rFonts w:ascii="Times New Roman" w:hAnsi="Times New Roman" w:cs="Times New Roman"/>
          <w:sz w:val="20"/>
          <w:szCs w:val="20"/>
          <w:lang w:val="en-US"/>
        </w:rPr>
        <w:t>volume</w:t>
      </w:r>
      <w:r w:rsidR="00365F47" w:rsidRPr="008F23CC">
        <w:rPr>
          <w:rFonts w:ascii="Times New Roman" w:hAnsi="Times New Roman" w:cs="Times New Roman"/>
          <w:sz w:val="20"/>
          <w:szCs w:val="20"/>
          <w:lang w:val="en-US"/>
        </w:rPr>
        <w:t xml:space="preserve"> and </w:t>
      </w:r>
      <w:r w:rsidR="000759DC" w:rsidRPr="008F23CC">
        <w:rPr>
          <w:rFonts w:ascii="Times New Roman" w:hAnsi="Times New Roman" w:cs="Times New Roman"/>
          <w:sz w:val="20"/>
          <w:szCs w:val="20"/>
          <w:lang w:val="en-US"/>
        </w:rPr>
        <w:t>the incorporation of economies</w:t>
      </w:r>
      <w:r w:rsidR="00A3331A" w:rsidRPr="008F23CC">
        <w:rPr>
          <w:rFonts w:ascii="Times New Roman" w:hAnsi="Times New Roman" w:cs="Times New Roman"/>
          <w:sz w:val="20"/>
          <w:szCs w:val="20"/>
          <w:lang w:val="en-US"/>
        </w:rPr>
        <w:t xml:space="preserve"> of scale</w:t>
      </w:r>
      <w:r w:rsidRPr="008F23CC">
        <w:rPr>
          <w:rFonts w:ascii="Times New Roman" w:hAnsi="Times New Roman" w:cs="Times New Roman"/>
          <w:sz w:val="20"/>
          <w:szCs w:val="20"/>
          <w:lang w:val="en-US"/>
        </w:rPr>
        <w:t xml:space="preserve">. </w:t>
      </w:r>
    </w:p>
    <w:p w:rsidR="00D30F89" w:rsidRPr="008F23CC" w:rsidRDefault="00D30F89"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64249C" w:rsidRPr="00936ADD" w:rsidRDefault="00272FC0" w:rsidP="003066A0">
      <w:pPr>
        <w:widowControl w:val="0"/>
        <w:autoSpaceDE w:val="0"/>
        <w:autoSpaceDN w:val="0"/>
        <w:adjustRightInd w:val="0"/>
        <w:spacing w:after="0" w:line="240" w:lineRule="auto"/>
        <w:rPr>
          <w:rFonts w:ascii="Times New Roman" w:hAnsi="Times New Roman" w:cs="Times New Roman"/>
          <w:b/>
          <w:lang w:val="en-US"/>
        </w:rPr>
      </w:pPr>
      <w:r w:rsidRPr="00936ADD">
        <w:rPr>
          <w:rFonts w:ascii="Times New Roman" w:hAnsi="Times New Roman" w:cs="Times New Roman"/>
          <w:b/>
          <w:lang w:val="en-US"/>
        </w:rPr>
        <w:t>4</w:t>
      </w:r>
      <w:r w:rsidR="0064249C" w:rsidRPr="00936ADD">
        <w:rPr>
          <w:rFonts w:ascii="Times New Roman" w:hAnsi="Times New Roman" w:cs="Times New Roman"/>
          <w:b/>
          <w:lang w:val="en-US"/>
        </w:rPr>
        <w:t>.1 Projected and Allowable Fuel Cell Cost</w:t>
      </w:r>
    </w:p>
    <w:p w:rsidR="001E3293" w:rsidRPr="008F23CC" w:rsidRDefault="00D30F89" w:rsidP="001E3293">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w:t>
      </w:r>
      <w:r w:rsidR="00BA4B8B" w:rsidRPr="008F23CC">
        <w:rPr>
          <w:rFonts w:ascii="Times New Roman" w:hAnsi="Times New Roman" w:cs="Times New Roman"/>
          <w:sz w:val="20"/>
          <w:szCs w:val="20"/>
          <w:lang w:val="en-US"/>
        </w:rPr>
        <w:t xml:space="preserve">he </w:t>
      </w:r>
      <w:r w:rsidR="0064249C" w:rsidRPr="008F23CC">
        <w:rPr>
          <w:rFonts w:ascii="Times New Roman" w:hAnsi="Times New Roman" w:cs="Times New Roman"/>
          <w:sz w:val="20"/>
          <w:szCs w:val="20"/>
          <w:lang w:val="en-US"/>
        </w:rPr>
        <w:t xml:space="preserve">manufacturing </w:t>
      </w:r>
      <w:r w:rsidR="00BA4B8B" w:rsidRPr="008F23CC">
        <w:rPr>
          <w:rFonts w:ascii="Times New Roman" w:hAnsi="Times New Roman" w:cs="Times New Roman"/>
          <w:sz w:val="20"/>
          <w:szCs w:val="20"/>
          <w:lang w:val="en-US"/>
        </w:rPr>
        <w:t xml:space="preserve">cost of a PEM </w:t>
      </w:r>
      <w:r w:rsidR="00A3331A" w:rsidRPr="008F23CC">
        <w:rPr>
          <w:rFonts w:ascii="Times New Roman" w:hAnsi="Times New Roman" w:cs="Times New Roman"/>
          <w:sz w:val="20"/>
          <w:szCs w:val="20"/>
          <w:lang w:val="en-US"/>
        </w:rPr>
        <w:t xml:space="preserve">fuel cell </w:t>
      </w:r>
      <w:r w:rsidR="0064249C" w:rsidRPr="008F23CC">
        <w:rPr>
          <w:rFonts w:ascii="Times New Roman" w:hAnsi="Times New Roman" w:cs="Times New Roman"/>
          <w:sz w:val="20"/>
          <w:szCs w:val="20"/>
          <w:lang w:val="en-US"/>
        </w:rPr>
        <w:t xml:space="preserve">stack </w:t>
      </w:r>
      <w:r w:rsidR="00A3331A" w:rsidRPr="008F23CC">
        <w:rPr>
          <w:rFonts w:ascii="Times New Roman" w:hAnsi="Times New Roman" w:cs="Times New Roman"/>
          <w:sz w:val="20"/>
          <w:szCs w:val="20"/>
          <w:lang w:val="en-US"/>
        </w:rPr>
        <w:t>includes</w:t>
      </w:r>
      <w:r w:rsidR="00633E2D" w:rsidRPr="008F23CC">
        <w:rPr>
          <w:rFonts w:ascii="Times New Roman" w:hAnsi="Times New Roman" w:cs="Times New Roman"/>
          <w:sz w:val="20"/>
          <w:szCs w:val="20"/>
          <w:lang w:val="en-US"/>
        </w:rPr>
        <w:t xml:space="preserve"> the individual costs of the membrane, the electrodes, </w:t>
      </w:r>
      <w:r w:rsidR="00111611" w:rsidRPr="008F23CC">
        <w:rPr>
          <w:rFonts w:ascii="Times New Roman" w:hAnsi="Times New Roman" w:cs="Times New Roman"/>
          <w:sz w:val="20"/>
          <w:szCs w:val="20"/>
          <w:lang w:val="en-US"/>
        </w:rPr>
        <w:t xml:space="preserve">the platinum catalyst, </w:t>
      </w:r>
      <w:r w:rsidR="00633E2D" w:rsidRPr="008F23CC">
        <w:rPr>
          <w:rFonts w:ascii="Times New Roman" w:hAnsi="Times New Roman" w:cs="Times New Roman"/>
          <w:sz w:val="20"/>
          <w:szCs w:val="20"/>
          <w:lang w:val="en-US"/>
        </w:rPr>
        <w:t>the bipolar plates, the peripheral mate</w:t>
      </w:r>
      <w:r w:rsidR="00335B9C" w:rsidRPr="008F23CC">
        <w:rPr>
          <w:rFonts w:ascii="Times New Roman" w:hAnsi="Times New Roman" w:cs="Times New Roman"/>
          <w:sz w:val="20"/>
          <w:szCs w:val="20"/>
          <w:lang w:val="en-US"/>
        </w:rPr>
        <w:t xml:space="preserve">rials and </w:t>
      </w:r>
      <w:r w:rsidR="00A3331A" w:rsidRPr="008F23CC">
        <w:rPr>
          <w:rFonts w:ascii="Times New Roman" w:hAnsi="Times New Roman" w:cs="Times New Roman"/>
          <w:sz w:val="20"/>
          <w:szCs w:val="20"/>
          <w:lang w:val="en-US"/>
        </w:rPr>
        <w:t>a minor share of the assembly costs</w:t>
      </w:r>
      <w:r w:rsidR="00335B9C" w:rsidRPr="008F23CC">
        <w:rPr>
          <w:rFonts w:ascii="Times New Roman" w:hAnsi="Times New Roman" w:cs="Times New Roman"/>
          <w:sz w:val="20"/>
          <w:szCs w:val="20"/>
          <w:lang w:val="en-US"/>
        </w:rPr>
        <w:t xml:space="preserve">. </w:t>
      </w:r>
      <w:r w:rsidR="00BA4B8B" w:rsidRPr="008F23CC">
        <w:rPr>
          <w:rFonts w:ascii="Times New Roman" w:hAnsi="Times New Roman" w:cs="Times New Roman"/>
          <w:sz w:val="20"/>
          <w:szCs w:val="20"/>
          <w:lang w:val="en-US"/>
        </w:rPr>
        <w:t>An</w:t>
      </w:r>
      <w:r w:rsidR="00633E2D" w:rsidRPr="008F23CC">
        <w:rPr>
          <w:rFonts w:ascii="Times New Roman" w:hAnsi="Times New Roman" w:cs="Times New Roman"/>
          <w:sz w:val="20"/>
          <w:szCs w:val="20"/>
          <w:lang w:val="en-US"/>
        </w:rPr>
        <w:t xml:space="preserve"> overview of </w:t>
      </w:r>
      <w:r w:rsidRPr="008F23CC">
        <w:rPr>
          <w:rFonts w:ascii="Times New Roman" w:hAnsi="Times New Roman" w:cs="Times New Roman"/>
          <w:sz w:val="20"/>
          <w:szCs w:val="20"/>
          <w:lang w:val="en-US"/>
        </w:rPr>
        <w:t xml:space="preserve">the 2004 </w:t>
      </w:r>
      <w:r w:rsidR="00075931">
        <w:rPr>
          <w:rFonts w:ascii="Times New Roman" w:hAnsi="Times New Roman" w:cs="Times New Roman"/>
          <w:sz w:val="20"/>
          <w:szCs w:val="20"/>
          <w:lang w:val="en-US"/>
        </w:rPr>
        <w:t xml:space="preserve">PEFC </w:t>
      </w:r>
      <w:r w:rsidR="00633E2D" w:rsidRPr="008F23CC">
        <w:rPr>
          <w:rFonts w:ascii="Times New Roman" w:hAnsi="Times New Roman" w:cs="Times New Roman"/>
          <w:sz w:val="20"/>
          <w:szCs w:val="20"/>
          <w:lang w:val="en-US"/>
        </w:rPr>
        <w:t xml:space="preserve">cost estimates </w:t>
      </w:r>
      <w:r w:rsidRPr="008F23CC">
        <w:rPr>
          <w:rFonts w:ascii="Times New Roman" w:hAnsi="Times New Roman" w:cs="Times New Roman"/>
          <w:sz w:val="20"/>
          <w:szCs w:val="20"/>
          <w:lang w:val="en-US"/>
        </w:rPr>
        <w:t>is</w:t>
      </w:r>
      <w:r w:rsidR="00633E2D" w:rsidRPr="008F23CC">
        <w:rPr>
          <w:rFonts w:ascii="Times New Roman" w:hAnsi="Times New Roman" w:cs="Times New Roman"/>
          <w:sz w:val="20"/>
          <w:szCs w:val="20"/>
          <w:lang w:val="en-US"/>
        </w:rPr>
        <w:t xml:space="preserve"> presented in Table 3. </w:t>
      </w:r>
      <w:r w:rsidR="00BA4B8B" w:rsidRPr="008F23CC">
        <w:rPr>
          <w:rFonts w:ascii="Times New Roman" w:hAnsi="Times New Roman" w:cs="Times New Roman"/>
          <w:sz w:val="20"/>
          <w:szCs w:val="20"/>
          <w:lang w:val="en-US"/>
        </w:rPr>
        <w:t>T</w:t>
      </w:r>
      <w:r w:rsidR="00633E2D" w:rsidRPr="008F23CC">
        <w:rPr>
          <w:rFonts w:ascii="Times New Roman" w:hAnsi="Times New Roman" w:cs="Times New Roman"/>
          <w:sz w:val="20"/>
          <w:szCs w:val="20"/>
          <w:lang w:val="en-US"/>
        </w:rPr>
        <w:t xml:space="preserve">he total </w:t>
      </w:r>
      <w:r w:rsidR="00FF075F" w:rsidRPr="008F23CC">
        <w:rPr>
          <w:rFonts w:ascii="Times New Roman" w:hAnsi="Times New Roman" w:cs="Times New Roman"/>
          <w:sz w:val="20"/>
          <w:szCs w:val="20"/>
          <w:lang w:val="en-US"/>
        </w:rPr>
        <w:t xml:space="preserve">manufacturing </w:t>
      </w:r>
      <w:r w:rsidR="00633E2D" w:rsidRPr="008F23CC">
        <w:rPr>
          <w:rFonts w:ascii="Times New Roman" w:hAnsi="Times New Roman" w:cs="Times New Roman"/>
          <w:sz w:val="20"/>
          <w:szCs w:val="20"/>
          <w:lang w:val="en-US"/>
        </w:rPr>
        <w:t xml:space="preserve">cost of </w:t>
      </w:r>
      <w:r w:rsidR="00BA4B8B" w:rsidRPr="008F23CC">
        <w:rPr>
          <w:rFonts w:ascii="Times New Roman" w:hAnsi="Times New Roman" w:cs="Times New Roman"/>
          <w:sz w:val="20"/>
          <w:szCs w:val="20"/>
          <w:lang w:val="en-US"/>
        </w:rPr>
        <w:t>approximately</w:t>
      </w:r>
      <w:r w:rsidR="00633E2D" w:rsidRPr="008F23CC">
        <w:rPr>
          <w:rFonts w:ascii="Times New Roman" w:hAnsi="Times New Roman" w:cs="Times New Roman"/>
          <w:sz w:val="20"/>
          <w:szCs w:val="20"/>
          <w:lang w:val="en-US"/>
        </w:rPr>
        <w:t xml:space="preserve"> 1</w:t>
      </w:r>
      <w:r w:rsidRPr="008F23CC">
        <w:rPr>
          <w:rFonts w:ascii="Times New Roman" w:hAnsi="Times New Roman" w:cs="Times New Roman"/>
          <w:sz w:val="20"/>
          <w:szCs w:val="20"/>
          <w:lang w:val="en-US"/>
        </w:rPr>
        <w:t>,</w:t>
      </w:r>
      <w:r w:rsidR="00FF075F" w:rsidRPr="008F23CC">
        <w:rPr>
          <w:rFonts w:ascii="Times New Roman" w:hAnsi="Times New Roman" w:cs="Times New Roman"/>
          <w:sz w:val="20"/>
          <w:szCs w:val="20"/>
          <w:lang w:val="en-US"/>
        </w:rPr>
        <w:t>3</w:t>
      </w:r>
      <w:r w:rsidR="00633E2D" w:rsidRPr="008F23CC">
        <w:rPr>
          <w:rFonts w:ascii="Times New Roman" w:hAnsi="Times New Roman" w:cs="Times New Roman"/>
          <w:sz w:val="20"/>
          <w:szCs w:val="20"/>
          <w:lang w:val="en-US"/>
        </w:rPr>
        <w:t>00</w:t>
      </w:r>
      <w:r w:rsidR="00BA4B8B" w:rsidRPr="008F23CC">
        <w:rPr>
          <w:rFonts w:ascii="Times New Roman" w:hAnsi="Times New Roman" w:cs="Times New Roman"/>
          <w:sz w:val="20"/>
          <w:szCs w:val="20"/>
          <w:lang w:val="en-US"/>
        </w:rPr>
        <w:t xml:space="preserve"> </w:t>
      </w:r>
      <w:r w:rsidR="00FF075F" w:rsidRPr="008F23CC">
        <w:rPr>
          <w:rFonts w:ascii="Times New Roman" w:hAnsi="Times New Roman" w:cs="Times New Roman"/>
          <w:sz w:val="20"/>
          <w:szCs w:val="20"/>
          <w:lang w:val="en-US"/>
        </w:rPr>
        <w:t>€</w:t>
      </w:r>
      <w:r w:rsidR="00633E2D" w:rsidRPr="008F23CC">
        <w:rPr>
          <w:rFonts w:ascii="Times New Roman" w:hAnsi="Times New Roman" w:cs="Times New Roman"/>
          <w:sz w:val="20"/>
          <w:szCs w:val="20"/>
          <w:lang w:val="en-US"/>
        </w:rPr>
        <w:t>/kW</w:t>
      </w:r>
      <w:r w:rsidR="00593309" w:rsidRPr="008F23CC">
        <w:rPr>
          <w:rFonts w:ascii="Times New Roman" w:hAnsi="Times New Roman" w:cs="Times New Roman"/>
          <w:sz w:val="20"/>
          <w:szCs w:val="20"/>
          <w:vertAlign w:val="subscript"/>
          <w:lang w:val="en-US"/>
        </w:rPr>
        <w:t>el</w:t>
      </w:r>
      <w:r w:rsidR="00FF075F" w:rsidRPr="008F23CC">
        <w:rPr>
          <w:rStyle w:val="a8"/>
          <w:rFonts w:ascii="Times New Roman" w:hAnsi="Times New Roman" w:cs="Times New Roman"/>
          <w:sz w:val="20"/>
          <w:szCs w:val="20"/>
          <w:lang w:val="en-US"/>
        </w:rPr>
        <w:footnoteReference w:id="2"/>
      </w:r>
      <w:r w:rsidR="00633E2D" w:rsidRPr="008F23CC">
        <w:rPr>
          <w:rFonts w:ascii="Times New Roman" w:hAnsi="Times New Roman" w:cs="Times New Roman"/>
          <w:sz w:val="20"/>
          <w:szCs w:val="20"/>
          <w:lang w:val="en-US"/>
        </w:rPr>
        <w:t xml:space="preserve"> </w:t>
      </w:r>
      <w:r w:rsidR="00714EB2" w:rsidRPr="008F23CC">
        <w:rPr>
          <w:rFonts w:ascii="Times New Roman" w:hAnsi="Times New Roman" w:cs="Times New Roman"/>
          <w:sz w:val="20"/>
          <w:szCs w:val="20"/>
          <w:lang w:val="en-US"/>
        </w:rPr>
        <w:t>was</w:t>
      </w:r>
      <w:r w:rsidR="00633E2D" w:rsidRPr="008F23CC">
        <w:rPr>
          <w:rFonts w:ascii="Times New Roman" w:hAnsi="Times New Roman" w:cs="Times New Roman"/>
          <w:sz w:val="20"/>
          <w:szCs w:val="20"/>
          <w:lang w:val="en-US"/>
        </w:rPr>
        <w:t xml:space="preserve"> dominated by the cost of bi</w:t>
      </w:r>
      <w:r w:rsidR="00111611" w:rsidRPr="008F23CC">
        <w:rPr>
          <w:rFonts w:ascii="Times New Roman" w:hAnsi="Times New Roman" w:cs="Times New Roman"/>
          <w:sz w:val="20"/>
          <w:szCs w:val="20"/>
          <w:lang w:val="en-US"/>
        </w:rPr>
        <w:t>polar plates and electrodes, b</w:t>
      </w:r>
      <w:r w:rsidR="00633E2D" w:rsidRPr="008F23CC">
        <w:rPr>
          <w:rFonts w:ascii="Times New Roman" w:hAnsi="Times New Roman" w:cs="Times New Roman"/>
          <w:sz w:val="20"/>
          <w:szCs w:val="20"/>
          <w:lang w:val="en-US"/>
        </w:rPr>
        <w:t xml:space="preserve">oth manually manufactured at the moment, </w:t>
      </w:r>
      <w:r w:rsidR="00111611" w:rsidRPr="008F23CC">
        <w:rPr>
          <w:rFonts w:ascii="Times New Roman" w:hAnsi="Times New Roman" w:cs="Times New Roman"/>
          <w:sz w:val="20"/>
          <w:szCs w:val="20"/>
          <w:lang w:val="en-US"/>
        </w:rPr>
        <w:t>while</w:t>
      </w:r>
      <w:r w:rsidR="00633E2D" w:rsidRPr="008F23CC">
        <w:rPr>
          <w:rFonts w:ascii="Times New Roman" w:hAnsi="Times New Roman" w:cs="Times New Roman"/>
          <w:sz w:val="20"/>
          <w:szCs w:val="20"/>
          <w:lang w:val="en-US"/>
        </w:rPr>
        <w:t xml:space="preserve"> their future large-scale production is expected to lead to significant </w:t>
      </w:r>
      <w:r w:rsidR="009923F8" w:rsidRPr="008F23CC">
        <w:rPr>
          <w:rFonts w:ascii="Times New Roman" w:hAnsi="Times New Roman" w:cs="Times New Roman"/>
          <w:sz w:val="20"/>
          <w:szCs w:val="20"/>
          <w:lang w:val="en-US"/>
        </w:rPr>
        <w:t xml:space="preserve">cost </w:t>
      </w:r>
      <w:r w:rsidR="00633E2D" w:rsidRPr="008F23CC">
        <w:rPr>
          <w:rFonts w:ascii="Times New Roman" w:hAnsi="Times New Roman" w:cs="Times New Roman"/>
          <w:sz w:val="20"/>
          <w:szCs w:val="20"/>
          <w:lang w:val="en-US"/>
        </w:rPr>
        <w:t xml:space="preserve">decrease </w:t>
      </w:r>
      <w:r w:rsidR="00BA4B8B" w:rsidRPr="008F23CC">
        <w:rPr>
          <w:rFonts w:ascii="Times New Roman" w:hAnsi="Times New Roman" w:cs="Times New Roman"/>
          <w:sz w:val="20"/>
          <w:szCs w:val="20"/>
          <w:lang w:val="en-US"/>
        </w:rPr>
        <w:t>[</w:t>
      </w:r>
      <w:r w:rsidR="000B6E1B">
        <w:rPr>
          <w:rFonts w:ascii="Times New Roman" w:hAnsi="Times New Roman" w:cs="Times New Roman"/>
          <w:sz w:val="20"/>
          <w:szCs w:val="20"/>
          <w:lang w:val="en-US"/>
        </w:rPr>
        <w:t>4</w:t>
      </w:r>
      <w:r w:rsidR="001710B0">
        <w:rPr>
          <w:rFonts w:ascii="Times New Roman" w:hAnsi="Times New Roman" w:cs="Times New Roman"/>
          <w:sz w:val="20"/>
          <w:szCs w:val="20"/>
          <w:lang w:val="en-US"/>
        </w:rPr>
        <w:t>3</w:t>
      </w:r>
      <w:r w:rsidR="00BA4B8B" w:rsidRPr="008F23CC">
        <w:rPr>
          <w:rFonts w:ascii="Times New Roman" w:hAnsi="Times New Roman" w:cs="Times New Roman"/>
          <w:sz w:val="20"/>
          <w:szCs w:val="20"/>
          <w:lang w:val="en-US"/>
        </w:rPr>
        <w:t>].</w:t>
      </w:r>
      <w:r w:rsidR="001E3293" w:rsidRPr="008F23CC">
        <w:rPr>
          <w:rFonts w:ascii="Times New Roman" w:hAnsi="Times New Roman" w:cs="Times New Roman"/>
          <w:sz w:val="20"/>
          <w:szCs w:val="20"/>
          <w:lang w:val="en-US"/>
        </w:rPr>
        <w:t xml:space="preserve"> </w:t>
      </w:r>
    </w:p>
    <w:p w:rsidR="00633E2D" w:rsidRPr="008F23CC" w:rsidRDefault="00633E2D" w:rsidP="00747BD4">
      <w:pPr>
        <w:widowControl w:val="0"/>
        <w:autoSpaceDE w:val="0"/>
        <w:autoSpaceDN w:val="0"/>
        <w:adjustRightInd w:val="0"/>
        <w:spacing w:after="0" w:line="240" w:lineRule="auto"/>
        <w:jc w:val="both"/>
        <w:rPr>
          <w:rFonts w:ascii="Times New Roman" w:hAnsi="Times New Roman" w:cs="Times New Roman"/>
          <w:sz w:val="20"/>
          <w:szCs w:val="20"/>
          <w:lang w:val="en-US"/>
        </w:rPr>
      </w:pPr>
    </w:p>
    <w:p w:rsidR="00633E2D" w:rsidRPr="008F23CC" w:rsidRDefault="00633E2D" w:rsidP="003066A0">
      <w:pPr>
        <w:widowControl w:val="0"/>
        <w:autoSpaceDE w:val="0"/>
        <w:autoSpaceDN w:val="0"/>
        <w:adjustRightInd w:val="0"/>
        <w:spacing w:after="0" w:line="240" w:lineRule="auto"/>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Table </w:t>
      </w:r>
      <w:r w:rsidR="005A0509" w:rsidRPr="008F23CC">
        <w:rPr>
          <w:rFonts w:ascii="Times New Roman" w:hAnsi="Times New Roman" w:cs="Times New Roman"/>
          <w:b/>
          <w:sz w:val="20"/>
          <w:szCs w:val="20"/>
          <w:lang w:val="en-US"/>
        </w:rPr>
        <w:t xml:space="preserve">3 </w:t>
      </w:r>
      <w:r w:rsidRPr="008F23CC">
        <w:rPr>
          <w:rFonts w:ascii="Times New Roman" w:hAnsi="Times New Roman" w:cs="Times New Roman"/>
          <w:sz w:val="20"/>
          <w:szCs w:val="20"/>
          <w:lang w:val="en-US"/>
        </w:rPr>
        <w:t>Estimates of current PEM costs [</w:t>
      </w:r>
      <w:r w:rsidR="000B6E1B">
        <w:rPr>
          <w:rFonts w:ascii="Times New Roman" w:hAnsi="Times New Roman" w:cs="Times New Roman"/>
          <w:sz w:val="20"/>
          <w:szCs w:val="20"/>
          <w:lang w:val="en-US"/>
        </w:rPr>
        <w:t>4</w:t>
      </w:r>
      <w:r w:rsidR="001710B0">
        <w:rPr>
          <w:rFonts w:ascii="Times New Roman" w:hAnsi="Times New Roman" w:cs="Times New Roman"/>
          <w:sz w:val="20"/>
          <w:szCs w:val="20"/>
          <w:lang w:val="en-US"/>
        </w:rPr>
        <w:t>3</w:t>
      </w:r>
      <w:r w:rsidRPr="008F23CC">
        <w:rPr>
          <w:rFonts w:ascii="Times New Roman" w:hAnsi="Times New Roman" w:cs="Times New Roman"/>
          <w:sz w:val="20"/>
          <w:szCs w:val="20"/>
          <w:lang w:val="en-US"/>
        </w:rPr>
        <w:t>]</w:t>
      </w:r>
    </w:p>
    <w:tbl>
      <w:tblPr>
        <w:tblW w:w="0" w:type="auto"/>
        <w:tblInd w:w="108" w:type="dxa"/>
        <w:tblBorders>
          <w:top w:val="single" w:sz="4" w:space="0" w:color="auto"/>
          <w:bottom w:val="single" w:sz="4" w:space="0" w:color="auto"/>
        </w:tblBorders>
        <w:shd w:val="clear" w:color="auto" w:fill="FFFFFF"/>
        <w:tblLook w:val="04A0"/>
      </w:tblPr>
      <w:tblGrid>
        <w:gridCol w:w="1704"/>
        <w:gridCol w:w="1704"/>
        <w:gridCol w:w="1704"/>
        <w:gridCol w:w="1705"/>
      </w:tblGrid>
      <w:tr w:rsidR="00633E2D" w:rsidRPr="00272FC0" w:rsidTr="00335B9C">
        <w:tc>
          <w:tcPr>
            <w:tcW w:w="1704" w:type="dxa"/>
            <w:tcBorders>
              <w:bottom w:val="single" w:sz="4" w:space="0" w:color="auto"/>
            </w:tcBorders>
            <w:shd w:val="clear" w:color="auto" w:fill="FFFFFF"/>
          </w:tcPr>
          <w:p w:rsidR="00633E2D" w:rsidRPr="00272FC0" w:rsidRDefault="00633E2D"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p>
        </w:tc>
        <w:tc>
          <w:tcPr>
            <w:tcW w:w="1704" w:type="dxa"/>
            <w:tcBorders>
              <w:bottom w:val="single" w:sz="4" w:space="0" w:color="auto"/>
            </w:tcBorders>
            <w:shd w:val="clear" w:color="auto" w:fill="FFFFFF"/>
          </w:tcPr>
          <w:p w:rsidR="00633E2D" w:rsidRPr="00272FC0" w:rsidRDefault="00B508D5" w:rsidP="00FF075F">
            <w:pPr>
              <w:widowControl w:val="0"/>
              <w:tabs>
                <w:tab w:val="left" w:pos="914"/>
              </w:tabs>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w:t>
            </w:r>
            <w:r w:rsidR="00633E2D" w:rsidRPr="00272FC0">
              <w:rPr>
                <w:rFonts w:ascii="Times New Roman" w:hAnsi="Times New Roman" w:cs="Times New Roman"/>
                <w:color w:val="000000"/>
                <w:sz w:val="18"/>
                <w:szCs w:val="18"/>
                <w:lang w:val="en-US"/>
              </w:rPr>
              <w:t>/m</w:t>
            </w:r>
            <w:r w:rsidR="00633E2D" w:rsidRPr="00272FC0">
              <w:rPr>
                <w:rFonts w:ascii="Times New Roman" w:hAnsi="Times New Roman" w:cs="Times New Roman"/>
                <w:color w:val="000000"/>
                <w:sz w:val="18"/>
                <w:szCs w:val="18"/>
                <w:vertAlign w:val="superscript"/>
                <w:lang w:val="en-US"/>
              </w:rPr>
              <w:t>2</w:t>
            </w:r>
          </w:p>
        </w:tc>
        <w:tc>
          <w:tcPr>
            <w:tcW w:w="1704" w:type="dxa"/>
            <w:tcBorders>
              <w:bottom w:val="single" w:sz="4" w:space="0" w:color="auto"/>
            </w:tcBorders>
            <w:shd w:val="clear" w:color="auto" w:fill="FFFFFF"/>
          </w:tcPr>
          <w:p w:rsidR="00633E2D" w:rsidRPr="00272FC0" w:rsidRDefault="00B508D5" w:rsidP="00FF075F">
            <w:pPr>
              <w:widowControl w:val="0"/>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w:t>
            </w:r>
            <w:r w:rsidR="00633E2D" w:rsidRPr="00272FC0">
              <w:rPr>
                <w:rFonts w:ascii="Times New Roman" w:hAnsi="Times New Roman" w:cs="Times New Roman"/>
                <w:color w:val="000000"/>
                <w:sz w:val="18"/>
                <w:szCs w:val="18"/>
                <w:lang w:val="en-US"/>
              </w:rPr>
              <w:t>/kW</w:t>
            </w:r>
            <w:r w:rsidR="00593309" w:rsidRPr="00272FC0">
              <w:rPr>
                <w:rFonts w:ascii="Times New Roman" w:hAnsi="Times New Roman" w:cs="Times New Roman"/>
                <w:color w:val="000000"/>
                <w:sz w:val="18"/>
                <w:szCs w:val="18"/>
                <w:vertAlign w:val="subscript"/>
                <w:lang w:val="en-US"/>
              </w:rPr>
              <w:t>e</w:t>
            </w:r>
          </w:p>
        </w:tc>
        <w:tc>
          <w:tcPr>
            <w:tcW w:w="1705" w:type="dxa"/>
            <w:tcBorders>
              <w:bottom w:val="single" w:sz="4" w:space="0" w:color="auto"/>
            </w:tcBorders>
            <w:shd w:val="clear" w:color="auto" w:fill="FFFFFF"/>
          </w:tcPr>
          <w:p w:rsidR="00633E2D" w:rsidRPr="00272FC0" w:rsidRDefault="00633E2D" w:rsidP="00FF075F">
            <w:pPr>
              <w:widowControl w:val="0"/>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share, %</w:t>
            </w:r>
          </w:p>
        </w:tc>
      </w:tr>
      <w:tr w:rsidR="00FF075F" w:rsidRPr="00272FC0" w:rsidTr="00593309">
        <w:tc>
          <w:tcPr>
            <w:tcW w:w="1704" w:type="dxa"/>
            <w:tcBorders>
              <w:top w:val="single" w:sz="4" w:space="0" w:color="auto"/>
              <w:bottom w:val="nil"/>
            </w:tcBorders>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membrane</w:t>
            </w:r>
          </w:p>
        </w:tc>
        <w:tc>
          <w:tcPr>
            <w:tcW w:w="1704" w:type="dxa"/>
            <w:tcBorders>
              <w:top w:val="single" w:sz="4" w:space="0" w:color="auto"/>
              <w:bottom w:val="nil"/>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357</w:t>
            </w:r>
          </w:p>
        </w:tc>
        <w:tc>
          <w:tcPr>
            <w:tcW w:w="1704" w:type="dxa"/>
            <w:tcBorders>
              <w:top w:val="single" w:sz="4" w:space="0" w:color="auto"/>
              <w:bottom w:val="nil"/>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179</w:t>
            </w:r>
          </w:p>
        </w:tc>
        <w:tc>
          <w:tcPr>
            <w:tcW w:w="1705" w:type="dxa"/>
            <w:tcBorders>
              <w:top w:val="single" w:sz="4" w:space="0" w:color="auto"/>
              <w:bottom w:val="nil"/>
            </w:tcBorders>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14</w:t>
            </w:r>
          </w:p>
        </w:tc>
      </w:tr>
      <w:tr w:rsidR="00FF075F" w:rsidRPr="00272FC0" w:rsidTr="00593309">
        <w:tc>
          <w:tcPr>
            <w:tcW w:w="1704" w:type="dxa"/>
            <w:tcBorders>
              <w:top w:val="nil"/>
            </w:tcBorders>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electrodes</w:t>
            </w:r>
          </w:p>
        </w:tc>
        <w:tc>
          <w:tcPr>
            <w:tcW w:w="1704" w:type="dxa"/>
            <w:tcBorders>
              <w:top w:val="nil"/>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1016</w:t>
            </w:r>
          </w:p>
        </w:tc>
        <w:tc>
          <w:tcPr>
            <w:tcW w:w="1704" w:type="dxa"/>
            <w:tcBorders>
              <w:top w:val="nil"/>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509</w:t>
            </w:r>
          </w:p>
        </w:tc>
        <w:tc>
          <w:tcPr>
            <w:tcW w:w="1705" w:type="dxa"/>
            <w:tcBorders>
              <w:top w:val="nil"/>
            </w:tcBorders>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39</w:t>
            </w:r>
          </w:p>
        </w:tc>
      </w:tr>
      <w:tr w:rsidR="00FF075F" w:rsidRPr="00272FC0" w:rsidTr="00593309">
        <w:tc>
          <w:tcPr>
            <w:tcW w:w="1704" w:type="dxa"/>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bipolar plates</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1179</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589</w:t>
            </w:r>
          </w:p>
        </w:tc>
        <w:tc>
          <w:tcPr>
            <w:tcW w:w="1705" w:type="dxa"/>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45</w:t>
            </w:r>
          </w:p>
        </w:tc>
      </w:tr>
      <w:tr w:rsidR="00FF075F" w:rsidRPr="00272FC0" w:rsidTr="00593309">
        <w:tc>
          <w:tcPr>
            <w:tcW w:w="1704" w:type="dxa"/>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platinum</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34</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17</w:t>
            </w:r>
          </w:p>
        </w:tc>
        <w:tc>
          <w:tcPr>
            <w:tcW w:w="1705" w:type="dxa"/>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1</w:t>
            </w:r>
          </w:p>
        </w:tc>
      </w:tr>
      <w:tr w:rsidR="00FF075F" w:rsidRPr="00272FC0" w:rsidTr="00593309">
        <w:tc>
          <w:tcPr>
            <w:tcW w:w="1704" w:type="dxa"/>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peripherals</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w:t>
            </w:r>
          </w:p>
        </w:tc>
        <w:tc>
          <w:tcPr>
            <w:tcW w:w="1704" w:type="dxa"/>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c>
          <w:tcPr>
            <w:tcW w:w="1705" w:type="dxa"/>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0</w:t>
            </w:r>
          </w:p>
        </w:tc>
      </w:tr>
      <w:tr w:rsidR="00FF075F" w:rsidRPr="00272FC0" w:rsidTr="00593309">
        <w:tc>
          <w:tcPr>
            <w:tcW w:w="1704" w:type="dxa"/>
            <w:tcBorders>
              <w:bottom w:val="single" w:sz="4" w:space="0" w:color="auto"/>
            </w:tcBorders>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assembly</w:t>
            </w:r>
          </w:p>
        </w:tc>
        <w:tc>
          <w:tcPr>
            <w:tcW w:w="1704" w:type="dxa"/>
            <w:tcBorders>
              <w:bottom w:val="single" w:sz="4" w:space="0" w:color="auto"/>
            </w:tcBorders>
            <w:shd w:val="clear" w:color="auto" w:fill="FFFFFF"/>
          </w:tcPr>
          <w:p w:rsidR="00FF075F" w:rsidRPr="00272FC0" w:rsidRDefault="00FF075F" w:rsidP="00FF075F">
            <w:pPr>
              <w:widowControl w:val="0"/>
              <w:spacing w:after="0" w:line="240" w:lineRule="auto"/>
              <w:ind w:left="-678"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lang w:val="en-US"/>
              </w:rPr>
              <w:t> </w:t>
            </w:r>
          </w:p>
        </w:tc>
        <w:tc>
          <w:tcPr>
            <w:tcW w:w="1704" w:type="dxa"/>
            <w:tcBorders>
              <w:bottom w:val="single" w:sz="4" w:space="0" w:color="auto"/>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c>
          <w:tcPr>
            <w:tcW w:w="1705" w:type="dxa"/>
            <w:tcBorders>
              <w:bottom w:val="single" w:sz="4" w:space="0" w:color="auto"/>
            </w:tcBorders>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0</w:t>
            </w:r>
          </w:p>
        </w:tc>
      </w:tr>
      <w:tr w:rsidR="00FF075F" w:rsidRPr="00272FC0" w:rsidTr="00593309">
        <w:tc>
          <w:tcPr>
            <w:tcW w:w="1704" w:type="dxa"/>
            <w:tcBorders>
              <w:top w:val="single" w:sz="4" w:space="0" w:color="auto"/>
              <w:bottom w:val="single" w:sz="4" w:space="0" w:color="auto"/>
            </w:tcBorders>
            <w:shd w:val="clear" w:color="auto" w:fill="FFFFFF"/>
          </w:tcPr>
          <w:p w:rsidR="00FF075F" w:rsidRPr="00272FC0" w:rsidRDefault="00FF075F" w:rsidP="00FF075F">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total</w:t>
            </w:r>
          </w:p>
        </w:tc>
        <w:tc>
          <w:tcPr>
            <w:tcW w:w="1704" w:type="dxa"/>
            <w:tcBorders>
              <w:top w:val="single" w:sz="4" w:space="0" w:color="auto"/>
              <w:bottom w:val="single" w:sz="4" w:space="0" w:color="auto"/>
            </w:tcBorders>
            <w:shd w:val="clear" w:color="auto" w:fill="FFFFFF"/>
          </w:tcPr>
          <w:p w:rsidR="00FF075F" w:rsidRPr="00272FC0" w:rsidRDefault="00FF075F" w:rsidP="00FF075F">
            <w:pPr>
              <w:widowControl w:val="0"/>
              <w:spacing w:after="0" w:line="240" w:lineRule="auto"/>
              <w:ind w:left="-678"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lang w:val="en-US"/>
              </w:rPr>
              <w:t> </w:t>
            </w:r>
          </w:p>
        </w:tc>
        <w:tc>
          <w:tcPr>
            <w:tcW w:w="1704" w:type="dxa"/>
            <w:tcBorders>
              <w:top w:val="single" w:sz="4" w:space="0" w:color="auto"/>
              <w:bottom w:val="single" w:sz="4" w:space="0" w:color="auto"/>
            </w:tcBorders>
            <w:shd w:val="clear" w:color="auto" w:fill="FFFFFF"/>
            <w:vAlign w:val="bottom"/>
          </w:tcPr>
          <w:p w:rsidR="00FF075F" w:rsidRPr="00272FC0" w:rsidRDefault="00FF075F" w:rsidP="00FF075F">
            <w:pPr>
              <w:spacing w:after="0" w:line="240" w:lineRule="auto"/>
              <w:ind w:right="606"/>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1304</w:t>
            </w:r>
          </w:p>
        </w:tc>
        <w:tc>
          <w:tcPr>
            <w:tcW w:w="1705" w:type="dxa"/>
            <w:tcBorders>
              <w:top w:val="single" w:sz="4" w:space="0" w:color="auto"/>
              <w:bottom w:val="single" w:sz="4" w:space="0" w:color="auto"/>
            </w:tcBorders>
            <w:shd w:val="clear" w:color="auto" w:fill="FFFFFF"/>
          </w:tcPr>
          <w:p w:rsidR="00FF075F" w:rsidRPr="00272FC0" w:rsidRDefault="00FF075F" w:rsidP="00FF075F">
            <w:pPr>
              <w:widowControl w:val="0"/>
              <w:autoSpaceDE w:val="0"/>
              <w:autoSpaceDN w:val="0"/>
              <w:adjustRightInd w:val="0"/>
              <w:spacing w:after="0" w:line="240" w:lineRule="auto"/>
              <w:ind w:left="-678" w:right="606"/>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100</w:t>
            </w:r>
          </w:p>
        </w:tc>
      </w:tr>
    </w:tbl>
    <w:p w:rsidR="00DA5C68" w:rsidRPr="008F23CC" w:rsidRDefault="00DA5C68"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1E3293" w:rsidRPr="008F23CC" w:rsidRDefault="003F5AC6"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main difference</w:t>
      </w:r>
      <w:r w:rsidR="00111611"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in </w:t>
      </w:r>
      <w:r w:rsidR="00935D16" w:rsidRPr="008F23CC">
        <w:rPr>
          <w:rFonts w:ascii="Times New Roman" w:hAnsi="Times New Roman" w:cs="Times New Roman"/>
          <w:sz w:val="20"/>
          <w:szCs w:val="20"/>
          <w:lang w:val="en-US"/>
        </w:rPr>
        <w:t>high temperature fuel cell</w:t>
      </w:r>
      <w:r w:rsidRPr="008F23CC">
        <w:rPr>
          <w:rFonts w:ascii="Times New Roman" w:hAnsi="Times New Roman" w:cs="Times New Roman"/>
          <w:sz w:val="20"/>
          <w:szCs w:val="20"/>
          <w:lang w:val="en-US"/>
        </w:rPr>
        <w:t xml:space="preserve"> stack cost structure, </w:t>
      </w:r>
      <w:r w:rsidR="00111611" w:rsidRPr="008F23CC">
        <w:rPr>
          <w:rFonts w:ascii="Times New Roman" w:hAnsi="Times New Roman" w:cs="Times New Roman"/>
          <w:sz w:val="20"/>
          <w:szCs w:val="20"/>
          <w:lang w:val="en-US"/>
        </w:rPr>
        <w:t>relate</w:t>
      </w:r>
      <w:r w:rsidRPr="008F23CC">
        <w:rPr>
          <w:rFonts w:ascii="Times New Roman" w:hAnsi="Times New Roman" w:cs="Times New Roman"/>
          <w:sz w:val="20"/>
          <w:szCs w:val="20"/>
          <w:lang w:val="en-US"/>
        </w:rPr>
        <w:t xml:space="preserve"> to the fact that </w:t>
      </w:r>
      <w:r w:rsidR="00111611" w:rsidRPr="008F23CC">
        <w:rPr>
          <w:rFonts w:ascii="Times New Roman" w:hAnsi="Times New Roman" w:cs="Times New Roman"/>
          <w:sz w:val="20"/>
          <w:szCs w:val="20"/>
          <w:lang w:val="en-US"/>
        </w:rPr>
        <w:t>they</w:t>
      </w:r>
      <w:r w:rsidRPr="008F23CC">
        <w:rPr>
          <w:rFonts w:ascii="Times New Roman" w:hAnsi="Times New Roman" w:cs="Times New Roman"/>
          <w:sz w:val="20"/>
          <w:szCs w:val="20"/>
          <w:lang w:val="en-US"/>
        </w:rPr>
        <w:t xml:space="preserve"> do not contain high-cost precious metals, on one hand</w:t>
      </w:r>
      <w:r w:rsidR="00111611"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and that they demand more complex manufacturing process</w:t>
      </w:r>
      <w:r w:rsidR="00C04E04" w:rsidRPr="008F23CC">
        <w:rPr>
          <w:rFonts w:ascii="Times New Roman" w:hAnsi="Times New Roman" w:cs="Times New Roman"/>
          <w:sz w:val="20"/>
          <w:szCs w:val="20"/>
          <w:lang w:val="en-US"/>
        </w:rPr>
        <w:t>, on the other</w:t>
      </w:r>
      <w:r w:rsidRPr="008F23CC">
        <w:rPr>
          <w:rFonts w:ascii="Times New Roman" w:hAnsi="Times New Roman" w:cs="Times New Roman"/>
          <w:sz w:val="20"/>
          <w:szCs w:val="20"/>
          <w:lang w:val="en-US"/>
        </w:rPr>
        <w:t xml:space="preserve">. </w:t>
      </w:r>
      <w:r w:rsidR="00A629E7" w:rsidRPr="008F23CC">
        <w:rPr>
          <w:rFonts w:ascii="Times New Roman" w:hAnsi="Times New Roman" w:cs="Times New Roman"/>
          <w:sz w:val="20"/>
          <w:szCs w:val="20"/>
          <w:lang w:val="en-US"/>
        </w:rPr>
        <w:t xml:space="preserve">It must be noticed </w:t>
      </w:r>
      <w:r w:rsidR="00FF075F" w:rsidRPr="008F23CC">
        <w:rPr>
          <w:rFonts w:ascii="Times New Roman" w:hAnsi="Times New Roman" w:cs="Times New Roman"/>
          <w:sz w:val="20"/>
          <w:szCs w:val="20"/>
          <w:lang w:val="en-US"/>
        </w:rPr>
        <w:t>therefore</w:t>
      </w:r>
      <w:r w:rsidR="00F2243C" w:rsidRPr="008F23CC">
        <w:rPr>
          <w:rFonts w:ascii="Times New Roman" w:hAnsi="Times New Roman" w:cs="Times New Roman"/>
          <w:sz w:val="20"/>
          <w:szCs w:val="20"/>
          <w:lang w:val="en-US"/>
        </w:rPr>
        <w:t xml:space="preserve">, </w:t>
      </w:r>
      <w:r w:rsidR="00A629E7" w:rsidRPr="008F23CC">
        <w:rPr>
          <w:rFonts w:ascii="Times New Roman" w:hAnsi="Times New Roman" w:cs="Times New Roman"/>
          <w:sz w:val="20"/>
          <w:szCs w:val="20"/>
          <w:lang w:val="en-US"/>
        </w:rPr>
        <w:t xml:space="preserve">that, the fuel cell stack is, in many cases, responsible for less than the one third of the total capital cost </w:t>
      </w:r>
      <w:r w:rsidR="00F2243C" w:rsidRPr="008F23CC">
        <w:rPr>
          <w:rFonts w:ascii="Times New Roman" w:hAnsi="Times New Roman" w:cs="Times New Roman"/>
          <w:sz w:val="20"/>
          <w:szCs w:val="20"/>
          <w:lang w:val="en-US"/>
        </w:rPr>
        <w:t xml:space="preserve">of a fuel cell system </w:t>
      </w:r>
      <w:r w:rsidR="000B6E1B">
        <w:rPr>
          <w:rFonts w:ascii="Times New Roman" w:hAnsi="Times New Roman" w:cs="Times New Roman"/>
          <w:sz w:val="20"/>
          <w:szCs w:val="20"/>
          <w:lang w:val="en-US"/>
        </w:rPr>
        <w:t>[4</w:t>
      </w:r>
      <w:r w:rsidR="001710B0">
        <w:rPr>
          <w:rFonts w:ascii="Times New Roman" w:hAnsi="Times New Roman" w:cs="Times New Roman"/>
          <w:sz w:val="20"/>
          <w:szCs w:val="20"/>
          <w:lang w:val="en-US"/>
        </w:rPr>
        <w:t>4</w:t>
      </w:r>
      <w:r w:rsidR="000B6E1B">
        <w:rPr>
          <w:rFonts w:ascii="Times New Roman" w:hAnsi="Times New Roman" w:cs="Times New Roman"/>
          <w:sz w:val="20"/>
          <w:szCs w:val="20"/>
          <w:lang w:val="en-US"/>
        </w:rPr>
        <w:t>]</w:t>
      </w:r>
      <w:r w:rsidR="00A629E7" w:rsidRPr="008F23CC">
        <w:rPr>
          <w:rFonts w:ascii="Times New Roman" w:hAnsi="Times New Roman" w:cs="Times New Roman"/>
          <w:sz w:val="20"/>
          <w:szCs w:val="20"/>
          <w:lang w:val="en-US"/>
        </w:rPr>
        <w:t xml:space="preserve">, and that a large portion of the total cost is caused by fuel pretreatment (reforming, cleaning etc), plant control, and power conditioning. </w:t>
      </w:r>
      <w:r w:rsidR="001944C0" w:rsidRPr="008F23CC">
        <w:rPr>
          <w:rFonts w:ascii="Times New Roman" w:hAnsi="Times New Roman" w:cs="Times New Roman"/>
          <w:sz w:val="20"/>
          <w:szCs w:val="20"/>
          <w:lang w:val="en-US"/>
        </w:rPr>
        <w:t xml:space="preserve">For </w:t>
      </w:r>
      <w:r w:rsidR="001944C0" w:rsidRPr="008F23CC">
        <w:rPr>
          <w:rFonts w:ascii="Times New Roman" w:hAnsi="Times New Roman" w:cs="Times New Roman"/>
          <w:sz w:val="20"/>
          <w:szCs w:val="20"/>
          <w:lang w:val="en-US"/>
        </w:rPr>
        <w:lastRenderedPageBreak/>
        <w:t>small-scale SOFC</w:t>
      </w:r>
      <w:r w:rsidR="00F2243C" w:rsidRPr="008F23CC">
        <w:rPr>
          <w:rFonts w:ascii="Times New Roman" w:hAnsi="Times New Roman" w:cs="Times New Roman"/>
          <w:sz w:val="20"/>
          <w:szCs w:val="20"/>
          <w:lang w:val="en-US"/>
        </w:rPr>
        <w:t xml:space="preserve"> systems</w:t>
      </w:r>
      <w:r w:rsidR="001944C0" w:rsidRPr="008F23CC">
        <w:rPr>
          <w:rFonts w:ascii="Times New Roman" w:hAnsi="Times New Roman" w:cs="Times New Roman"/>
          <w:sz w:val="20"/>
          <w:szCs w:val="20"/>
          <w:lang w:val="en-US"/>
        </w:rPr>
        <w:t>, the</w:t>
      </w:r>
      <w:r w:rsidRPr="008F23CC">
        <w:rPr>
          <w:rFonts w:ascii="Times New Roman" w:hAnsi="Times New Roman" w:cs="Times New Roman"/>
          <w:sz w:val="20"/>
          <w:szCs w:val="20"/>
          <w:lang w:val="en-US"/>
        </w:rPr>
        <w:t xml:space="preserve"> cost</w:t>
      </w:r>
      <w:r w:rsidR="001944C0" w:rsidRPr="008F23CC">
        <w:rPr>
          <w:rFonts w:ascii="Times New Roman" w:hAnsi="Times New Roman" w:cs="Times New Roman"/>
          <w:sz w:val="20"/>
          <w:szCs w:val="20"/>
          <w:lang w:val="en-US"/>
        </w:rPr>
        <w:t xml:space="preserve"> of the stack is </w:t>
      </w:r>
      <w:r w:rsidR="00F2243C" w:rsidRPr="008F23CC">
        <w:rPr>
          <w:rFonts w:ascii="Times New Roman" w:hAnsi="Times New Roman" w:cs="Times New Roman"/>
          <w:sz w:val="20"/>
          <w:szCs w:val="20"/>
          <w:lang w:val="en-US"/>
        </w:rPr>
        <w:t>of the order of</w:t>
      </w:r>
      <w:r w:rsidR="001944C0" w:rsidRPr="008F23CC">
        <w:rPr>
          <w:rFonts w:ascii="Times New Roman" w:hAnsi="Times New Roman" w:cs="Times New Roman"/>
          <w:sz w:val="20"/>
          <w:szCs w:val="20"/>
          <w:lang w:val="en-US"/>
        </w:rPr>
        <w:t xml:space="preserve"> 40 – 45 % of the </w:t>
      </w:r>
      <w:r w:rsidR="00111611" w:rsidRPr="008F23CC">
        <w:rPr>
          <w:rFonts w:ascii="Times New Roman" w:hAnsi="Times New Roman" w:cs="Times New Roman"/>
          <w:sz w:val="20"/>
          <w:szCs w:val="20"/>
          <w:lang w:val="en-US"/>
        </w:rPr>
        <w:t>total cost</w:t>
      </w:r>
      <w:r w:rsidR="001944C0" w:rsidRPr="008F23CC">
        <w:rPr>
          <w:rFonts w:ascii="Times New Roman" w:hAnsi="Times New Roman" w:cs="Times New Roman"/>
          <w:sz w:val="20"/>
          <w:szCs w:val="20"/>
          <w:lang w:val="en-US"/>
        </w:rPr>
        <w:t>, with the rest 55 – 60 % refer</w:t>
      </w:r>
      <w:r w:rsidR="00075931">
        <w:rPr>
          <w:rFonts w:ascii="Times New Roman" w:hAnsi="Times New Roman" w:cs="Times New Roman"/>
          <w:sz w:val="20"/>
          <w:szCs w:val="20"/>
          <w:lang w:val="en-US"/>
        </w:rPr>
        <w:t xml:space="preserve">ring </w:t>
      </w:r>
      <w:r w:rsidR="001944C0" w:rsidRPr="008F23CC">
        <w:rPr>
          <w:rFonts w:ascii="Times New Roman" w:hAnsi="Times New Roman" w:cs="Times New Roman"/>
          <w:sz w:val="20"/>
          <w:szCs w:val="20"/>
          <w:lang w:val="en-US"/>
        </w:rPr>
        <w:t xml:space="preserve">to the balance of the system. This cost </w:t>
      </w:r>
      <w:r w:rsidRPr="008F23CC">
        <w:rPr>
          <w:rFonts w:ascii="Times New Roman" w:hAnsi="Times New Roman" w:cs="Times New Roman"/>
          <w:sz w:val="20"/>
          <w:szCs w:val="20"/>
          <w:lang w:val="en-US"/>
        </w:rPr>
        <w:t xml:space="preserve">structure could </w:t>
      </w:r>
      <w:r w:rsidR="001944C0" w:rsidRPr="008F23CC">
        <w:rPr>
          <w:rFonts w:ascii="Times New Roman" w:hAnsi="Times New Roman" w:cs="Times New Roman"/>
          <w:sz w:val="20"/>
          <w:szCs w:val="20"/>
          <w:lang w:val="en-US"/>
        </w:rPr>
        <w:t xml:space="preserve">very </w:t>
      </w:r>
      <w:r w:rsidRPr="008F23CC">
        <w:rPr>
          <w:rFonts w:ascii="Times New Roman" w:hAnsi="Times New Roman" w:cs="Times New Roman"/>
          <w:sz w:val="20"/>
          <w:szCs w:val="20"/>
          <w:lang w:val="en-US"/>
        </w:rPr>
        <w:t xml:space="preserve">well be </w:t>
      </w:r>
      <w:r w:rsidR="00111611" w:rsidRPr="008F23CC">
        <w:rPr>
          <w:rFonts w:ascii="Times New Roman" w:hAnsi="Times New Roman" w:cs="Times New Roman"/>
          <w:sz w:val="20"/>
          <w:szCs w:val="20"/>
          <w:lang w:val="en-US"/>
        </w:rPr>
        <w:t>valid</w:t>
      </w:r>
      <w:r w:rsidRPr="008F23CC">
        <w:rPr>
          <w:rFonts w:ascii="Times New Roman" w:hAnsi="Times New Roman" w:cs="Times New Roman"/>
          <w:sz w:val="20"/>
          <w:szCs w:val="20"/>
          <w:lang w:val="en-US"/>
        </w:rPr>
        <w:t xml:space="preserve"> for PE</w:t>
      </w:r>
      <w:r w:rsidR="00111611" w:rsidRPr="008F23CC">
        <w:rPr>
          <w:rFonts w:ascii="Times New Roman" w:hAnsi="Times New Roman" w:cs="Times New Roman"/>
          <w:sz w:val="20"/>
          <w:szCs w:val="20"/>
          <w:lang w:val="en-US"/>
        </w:rPr>
        <w:t>M</w:t>
      </w:r>
      <w:r w:rsidRPr="008F23CC">
        <w:rPr>
          <w:rFonts w:ascii="Times New Roman" w:hAnsi="Times New Roman" w:cs="Times New Roman"/>
          <w:sz w:val="20"/>
          <w:szCs w:val="20"/>
          <w:lang w:val="en-US"/>
        </w:rPr>
        <w:t>FC systems</w:t>
      </w:r>
      <w:r w:rsidR="001944C0" w:rsidRPr="008F23CC">
        <w:rPr>
          <w:rFonts w:ascii="Times New Roman" w:hAnsi="Times New Roman" w:cs="Times New Roman"/>
          <w:sz w:val="20"/>
          <w:szCs w:val="20"/>
          <w:lang w:val="en-US"/>
        </w:rPr>
        <w:t xml:space="preserve">, although </w:t>
      </w:r>
      <w:r w:rsidR="00111611" w:rsidRPr="008F23CC">
        <w:rPr>
          <w:rFonts w:ascii="Times New Roman" w:hAnsi="Times New Roman" w:cs="Times New Roman"/>
          <w:sz w:val="20"/>
          <w:szCs w:val="20"/>
          <w:lang w:val="en-US"/>
        </w:rPr>
        <w:t xml:space="preserve">for </w:t>
      </w:r>
      <w:r w:rsidR="001944C0" w:rsidRPr="008F23CC">
        <w:rPr>
          <w:rFonts w:ascii="Times New Roman" w:hAnsi="Times New Roman" w:cs="Times New Roman"/>
          <w:sz w:val="20"/>
          <w:szCs w:val="20"/>
          <w:lang w:val="en-US"/>
        </w:rPr>
        <w:t>high temperature</w:t>
      </w:r>
      <w:r w:rsidRPr="008F23CC">
        <w:rPr>
          <w:rFonts w:ascii="Times New Roman" w:hAnsi="Times New Roman" w:cs="Times New Roman"/>
          <w:sz w:val="20"/>
          <w:szCs w:val="20"/>
          <w:lang w:val="en-US"/>
        </w:rPr>
        <w:t xml:space="preserve"> stack</w:t>
      </w:r>
      <w:r w:rsidR="003C2664" w:rsidRPr="008F23CC">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insulation </w:t>
      </w:r>
      <w:r w:rsidR="001944C0" w:rsidRPr="008F23CC">
        <w:rPr>
          <w:rFonts w:ascii="Times New Roman" w:hAnsi="Times New Roman" w:cs="Times New Roman"/>
          <w:sz w:val="20"/>
          <w:szCs w:val="20"/>
          <w:lang w:val="en-US"/>
        </w:rPr>
        <w:t>can be an important factor</w:t>
      </w:r>
      <w:r w:rsidR="00714EB2" w:rsidRPr="008F23CC">
        <w:rPr>
          <w:rFonts w:ascii="Times New Roman" w:hAnsi="Times New Roman" w:cs="Times New Roman"/>
          <w:sz w:val="20"/>
          <w:szCs w:val="20"/>
          <w:lang w:val="en-US"/>
        </w:rPr>
        <w:t>, especially</w:t>
      </w:r>
      <w:r w:rsidR="001944C0" w:rsidRPr="008F23CC">
        <w:rPr>
          <w:rFonts w:ascii="Times New Roman" w:hAnsi="Times New Roman" w:cs="Times New Roman"/>
          <w:sz w:val="20"/>
          <w:szCs w:val="20"/>
          <w:lang w:val="en-US"/>
        </w:rPr>
        <w:t xml:space="preserve"> for low nominal power outputs</w:t>
      </w:r>
      <w:r w:rsidR="00F2243C" w:rsidRPr="008F23CC">
        <w:rPr>
          <w:rFonts w:ascii="Times New Roman" w:hAnsi="Times New Roman" w:cs="Times New Roman"/>
          <w:sz w:val="20"/>
          <w:szCs w:val="20"/>
          <w:lang w:val="en-US"/>
        </w:rPr>
        <w:t xml:space="preserve"> [</w:t>
      </w:r>
      <w:r w:rsidR="000B6E1B">
        <w:rPr>
          <w:rFonts w:ascii="Times New Roman" w:hAnsi="Times New Roman" w:cs="Times New Roman"/>
          <w:sz w:val="20"/>
          <w:szCs w:val="20"/>
          <w:lang w:val="en-US"/>
        </w:rPr>
        <w:t>1</w:t>
      </w:r>
      <w:r w:rsidR="00F2243C" w:rsidRPr="008F23CC">
        <w:rPr>
          <w:rFonts w:ascii="Times New Roman" w:hAnsi="Times New Roman" w:cs="Times New Roman"/>
          <w:sz w:val="20"/>
          <w:szCs w:val="20"/>
          <w:lang w:val="en-US"/>
        </w:rPr>
        <w:t>]</w:t>
      </w:r>
      <w:r w:rsidRPr="008F23CC">
        <w:rPr>
          <w:rFonts w:ascii="Times New Roman" w:hAnsi="Times New Roman" w:cs="Times New Roman"/>
          <w:sz w:val="20"/>
          <w:szCs w:val="20"/>
          <w:lang w:val="en-US"/>
        </w:rPr>
        <w:t xml:space="preserve">. Small systems </w:t>
      </w:r>
      <w:r w:rsidR="00111611" w:rsidRPr="008F23CC">
        <w:rPr>
          <w:rFonts w:ascii="Times New Roman" w:hAnsi="Times New Roman" w:cs="Times New Roman"/>
          <w:sz w:val="20"/>
          <w:szCs w:val="20"/>
          <w:lang w:val="en-US"/>
        </w:rPr>
        <w:t>of few kW</w:t>
      </w:r>
      <w:r w:rsidR="00593309"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w:t>
      </w:r>
      <w:r w:rsidR="00111611" w:rsidRPr="008F23CC">
        <w:rPr>
          <w:rFonts w:ascii="Times New Roman" w:hAnsi="Times New Roman" w:cs="Times New Roman"/>
          <w:sz w:val="20"/>
          <w:szCs w:val="20"/>
          <w:lang w:val="en-US"/>
        </w:rPr>
        <w:t>are</w:t>
      </w:r>
      <w:r w:rsidRPr="008F23CC">
        <w:rPr>
          <w:rFonts w:ascii="Times New Roman" w:hAnsi="Times New Roman" w:cs="Times New Roman"/>
          <w:sz w:val="20"/>
          <w:szCs w:val="20"/>
          <w:lang w:val="en-US"/>
        </w:rPr>
        <w:t xml:space="preserve"> </w:t>
      </w:r>
      <w:r w:rsidR="00111611" w:rsidRPr="008F23CC">
        <w:rPr>
          <w:rFonts w:ascii="Times New Roman" w:hAnsi="Times New Roman" w:cs="Times New Roman"/>
          <w:sz w:val="20"/>
          <w:szCs w:val="20"/>
          <w:lang w:val="en-US"/>
        </w:rPr>
        <w:t xml:space="preserve">not </w:t>
      </w:r>
      <w:r w:rsidRPr="008F23CC">
        <w:rPr>
          <w:rFonts w:ascii="Times New Roman" w:hAnsi="Times New Roman" w:cs="Times New Roman"/>
          <w:sz w:val="20"/>
          <w:szCs w:val="20"/>
          <w:lang w:val="en-US"/>
        </w:rPr>
        <w:t xml:space="preserve">likely </w:t>
      </w:r>
      <w:r w:rsidR="00111611" w:rsidRPr="008F23CC">
        <w:rPr>
          <w:rFonts w:ascii="Times New Roman" w:hAnsi="Times New Roman" w:cs="Times New Roman"/>
          <w:sz w:val="20"/>
          <w:szCs w:val="20"/>
          <w:lang w:val="en-US"/>
        </w:rPr>
        <w:t>to</w:t>
      </w:r>
      <w:r w:rsidRPr="008F23CC">
        <w:rPr>
          <w:rFonts w:ascii="Times New Roman" w:hAnsi="Times New Roman" w:cs="Times New Roman"/>
          <w:sz w:val="20"/>
          <w:szCs w:val="20"/>
          <w:lang w:val="en-US"/>
        </w:rPr>
        <w:t xml:space="preserve"> operate under high pressure. While this simplifies the design and reduces cost for compressors and expanders it might also </w:t>
      </w:r>
      <w:r w:rsidR="00F2243C" w:rsidRPr="008F23CC">
        <w:rPr>
          <w:rFonts w:ascii="Times New Roman" w:hAnsi="Times New Roman" w:cs="Times New Roman"/>
          <w:sz w:val="20"/>
          <w:szCs w:val="20"/>
          <w:lang w:val="en-US"/>
        </w:rPr>
        <w:t>have a negative</w:t>
      </w:r>
      <w:r w:rsidRPr="008F23CC">
        <w:rPr>
          <w:rFonts w:ascii="Times New Roman" w:hAnsi="Times New Roman" w:cs="Times New Roman"/>
          <w:sz w:val="20"/>
          <w:szCs w:val="20"/>
          <w:lang w:val="en-US"/>
        </w:rPr>
        <w:t xml:space="preserve"> </w:t>
      </w:r>
      <w:r w:rsidR="00F2243C" w:rsidRPr="008F23CC">
        <w:rPr>
          <w:rFonts w:ascii="Times New Roman" w:hAnsi="Times New Roman" w:cs="Times New Roman"/>
          <w:sz w:val="20"/>
          <w:szCs w:val="20"/>
          <w:lang w:val="en-US"/>
        </w:rPr>
        <w:t>effect</w:t>
      </w:r>
      <w:r w:rsidRPr="008F23CC">
        <w:rPr>
          <w:rFonts w:ascii="Times New Roman" w:hAnsi="Times New Roman" w:cs="Times New Roman"/>
          <w:sz w:val="20"/>
          <w:szCs w:val="20"/>
          <w:lang w:val="en-US"/>
        </w:rPr>
        <w:t xml:space="preserve"> </w:t>
      </w:r>
      <w:r w:rsidR="00F2243C" w:rsidRPr="008F23CC">
        <w:rPr>
          <w:rFonts w:ascii="Times New Roman" w:hAnsi="Times New Roman" w:cs="Times New Roman"/>
          <w:sz w:val="20"/>
          <w:szCs w:val="20"/>
          <w:lang w:val="en-US"/>
        </w:rPr>
        <w:t xml:space="preserve">on </w:t>
      </w:r>
      <w:r w:rsidRPr="008F23CC">
        <w:rPr>
          <w:rFonts w:ascii="Times New Roman" w:hAnsi="Times New Roman" w:cs="Times New Roman"/>
          <w:sz w:val="20"/>
          <w:szCs w:val="20"/>
          <w:lang w:val="en-US"/>
        </w:rPr>
        <w:t xml:space="preserve">the power density. </w:t>
      </w:r>
      <w:r w:rsidR="00A11891" w:rsidRPr="008F23CC">
        <w:rPr>
          <w:rFonts w:ascii="Times New Roman" w:hAnsi="Times New Roman" w:cs="Times New Roman"/>
          <w:sz w:val="20"/>
          <w:szCs w:val="20"/>
          <w:lang w:val="en-US"/>
        </w:rPr>
        <w:t xml:space="preserve">Currently available high temperature fuel cell systems </w:t>
      </w:r>
      <w:r w:rsidR="00111611" w:rsidRPr="008F23CC">
        <w:rPr>
          <w:rFonts w:ascii="Times New Roman" w:hAnsi="Times New Roman" w:cs="Times New Roman"/>
          <w:sz w:val="20"/>
          <w:szCs w:val="20"/>
          <w:lang w:val="en-US"/>
        </w:rPr>
        <w:t>reach</w:t>
      </w:r>
      <w:r w:rsidR="00A11891" w:rsidRPr="008F23CC">
        <w:rPr>
          <w:rFonts w:ascii="Times New Roman" w:hAnsi="Times New Roman" w:cs="Times New Roman"/>
          <w:sz w:val="20"/>
          <w:szCs w:val="20"/>
          <w:lang w:val="en-US"/>
        </w:rPr>
        <w:t xml:space="preserve"> electrical capacities</w:t>
      </w:r>
      <w:r w:rsidR="00111611" w:rsidRPr="008F23CC">
        <w:rPr>
          <w:rFonts w:ascii="Times New Roman" w:hAnsi="Times New Roman" w:cs="Times New Roman"/>
          <w:sz w:val="20"/>
          <w:szCs w:val="20"/>
          <w:lang w:val="en-US"/>
        </w:rPr>
        <w:t xml:space="preserve"> of</w:t>
      </w:r>
      <w:r w:rsidR="00A11891" w:rsidRPr="008F23CC">
        <w:rPr>
          <w:rFonts w:ascii="Times New Roman" w:hAnsi="Times New Roman" w:cs="Times New Roman"/>
          <w:sz w:val="20"/>
          <w:szCs w:val="20"/>
          <w:lang w:val="en-US"/>
        </w:rPr>
        <w:t xml:space="preserve"> around 250 kW</w:t>
      </w:r>
      <w:r w:rsidR="00593309" w:rsidRPr="008F23CC">
        <w:rPr>
          <w:rFonts w:ascii="Times New Roman" w:hAnsi="Times New Roman" w:cs="Times New Roman"/>
          <w:sz w:val="20"/>
          <w:szCs w:val="20"/>
          <w:vertAlign w:val="subscript"/>
          <w:lang w:val="en-US"/>
        </w:rPr>
        <w:t>e</w:t>
      </w:r>
      <w:r w:rsidR="00111611" w:rsidRPr="008F23CC">
        <w:rPr>
          <w:rFonts w:ascii="Times New Roman" w:hAnsi="Times New Roman" w:cs="Times New Roman"/>
          <w:sz w:val="20"/>
          <w:szCs w:val="20"/>
          <w:lang w:val="en-US"/>
        </w:rPr>
        <w:t xml:space="preserve"> (for these systems, the integration of a</w:t>
      </w:r>
      <w:r w:rsidR="00A11891" w:rsidRPr="008F23CC">
        <w:rPr>
          <w:rFonts w:ascii="Times New Roman" w:hAnsi="Times New Roman" w:cs="Times New Roman"/>
          <w:sz w:val="20"/>
          <w:szCs w:val="20"/>
          <w:lang w:val="en-US"/>
        </w:rPr>
        <w:t xml:space="preserve"> gas turbine </w:t>
      </w:r>
      <w:r w:rsidR="00CE11FE" w:rsidRPr="008F23CC">
        <w:rPr>
          <w:rFonts w:ascii="Times New Roman" w:hAnsi="Times New Roman" w:cs="Times New Roman"/>
          <w:sz w:val="20"/>
          <w:szCs w:val="20"/>
          <w:lang w:val="en-US"/>
        </w:rPr>
        <w:t xml:space="preserve">can raise </w:t>
      </w:r>
      <w:r w:rsidR="00593309" w:rsidRPr="008F23CC">
        <w:rPr>
          <w:rFonts w:ascii="Times New Roman" w:hAnsi="Times New Roman" w:cs="Times New Roman"/>
          <w:sz w:val="20"/>
          <w:szCs w:val="20"/>
          <w:lang w:val="en-US"/>
        </w:rPr>
        <w:t xml:space="preserve">electric </w:t>
      </w:r>
      <w:r w:rsidR="00A11891" w:rsidRPr="008F23CC">
        <w:rPr>
          <w:rFonts w:ascii="Times New Roman" w:hAnsi="Times New Roman" w:cs="Times New Roman"/>
          <w:sz w:val="20"/>
          <w:szCs w:val="20"/>
          <w:lang w:val="en-US"/>
        </w:rPr>
        <w:t xml:space="preserve">efficiency </w:t>
      </w:r>
      <w:r w:rsidR="00CE11FE" w:rsidRPr="008F23CC">
        <w:rPr>
          <w:rFonts w:ascii="Times New Roman" w:hAnsi="Times New Roman" w:cs="Times New Roman"/>
          <w:sz w:val="20"/>
          <w:szCs w:val="20"/>
          <w:lang w:val="en-US"/>
        </w:rPr>
        <w:t>up to</w:t>
      </w:r>
      <w:r w:rsidR="00A11891" w:rsidRPr="008F23CC">
        <w:rPr>
          <w:rFonts w:ascii="Times New Roman" w:hAnsi="Times New Roman" w:cs="Times New Roman"/>
          <w:sz w:val="20"/>
          <w:szCs w:val="20"/>
          <w:lang w:val="en-US"/>
        </w:rPr>
        <w:t xml:space="preserve"> 60%</w:t>
      </w:r>
      <w:r w:rsidR="00CE11FE" w:rsidRPr="008F23CC">
        <w:rPr>
          <w:rFonts w:ascii="Times New Roman" w:hAnsi="Times New Roman" w:cs="Times New Roman"/>
          <w:sz w:val="20"/>
          <w:szCs w:val="20"/>
          <w:lang w:val="en-US"/>
        </w:rPr>
        <w:t>)</w:t>
      </w:r>
      <w:r w:rsidR="00A11891" w:rsidRPr="008F23CC">
        <w:rPr>
          <w:rFonts w:ascii="Times New Roman" w:hAnsi="Times New Roman" w:cs="Times New Roman"/>
          <w:sz w:val="20"/>
          <w:szCs w:val="20"/>
          <w:lang w:val="en-US"/>
        </w:rPr>
        <w:t xml:space="preserve">. Table </w:t>
      </w:r>
      <w:r w:rsidR="005A0509" w:rsidRPr="008F23CC">
        <w:rPr>
          <w:rFonts w:ascii="Times New Roman" w:hAnsi="Times New Roman" w:cs="Times New Roman"/>
          <w:sz w:val="20"/>
          <w:szCs w:val="20"/>
          <w:lang w:val="en-US"/>
        </w:rPr>
        <w:t>4</w:t>
      </w:r>
      <w:r w:rsidR="00A11891" w:rsidRPr="008F23CC">
        <w:rPr>
          <w:rFonts w:ascii="Times New Roman" w:hAnsi="Times New Roman" w:cs="Times New Roman"/>
          <w:sz w:val="20"/>
          <w:szCs w:val="20"/>
          <w:lang w:val="en-US"/>
        </w:rPr>
        <w:t xml:space="preserve"> indicates the current investment costs for stationary high temperature fuel cells</w:t>
      </w:r>
      <w:r w:rsidRPr="008F23CC">
        <w:rPr>
          <w:rFonts w:ascii="Times New Roman" w:hAnsi="Times New Roman" w:cs="Times New Roman"/>
          <w:sz w:val="20"/>
          <w:szCs w:val="20"/>
          <w:lang w:val="en-US"/>
        </w:rPr>
        <w:t xml:space="preserve"> </w:t>
      </w:r>
      <w:r w:rsidR="00A11891" w:rsidRPr="008F23CC">
        <w:rPr>
          <w:rFonts w:ascii="Times New Roman" w:hAnsi="Times New Roman" w:cs="Times New Roman"/>
          <w:sz w:val="20"/>
          <w:szCs w:val="20"/>
          <w:lang w:val="en-US"/>
        </w:rPr>
        <w:t>[</w:t>
      </w:r>
      <w:r w:rsidR="000B6E1B">
        <w:rPr>
          <w:rFonts w:ascii="Times New Roman" w:hAnsi="Times New Roman" w:cs="Times New Roman"/>
          <w:sz w:val="20"/>
          <w:szCs w:val="20"/>
          <w:lang w:val="en-US"/>
        </w:rPr>
        <w:t>2,4</w:t>
      </w:r>
      <w:r w:rsidR="001710B0">
        <w:rPr>
          <w:rFonts w:ascii="Times New Roman" w:hAnsi="Times New Roman" w:cs="Times New Roman"/>
          <w:sz w:val="20"/>
          <w:szCs w:val="20"/>
          <w:lang w:val="en-US"/>
        </w:rPr>
        <w:t>5</w:t>
      </w:r>
      <w:r w:rsidR="00A11891" w:rsidRPr="008F23CC">
        <w:rPr>
          <w:rFonts w:ascii="Times New Roman" w:hAnsi="Times New Roman" w:cs="Times New Roman"/>
          <w:sz w:val="20"/>
          <w:szCs w:val="20"/>
          <w:lang w:val="en-US"/>
        </w:rPr>
        <w:t>]</w:t>
      </w:r>
      <w:r w:rsidR="00310F97">
        <w:rPr>
          <w:rFonts w:ascii="Times New Roman" w:hAnsi="Times New Roman" w:cs="Times New Roman"/>
          <w:sz w:val="20"/>
          <w:szCs w:val="20"/>
          <w:lang w:val="en-US"/>
        </w:rPr>
        <w:t>.</w:t>
      </w:r>
      <w:r w:rsidR="00075931">
        <w:rPr>
          <w:rFonts w:ascii="Times New Roman" w:hAnsi="Times New Roman" w:cs="Times New Roman"/>
          <w:sz w:val="20"/>
          <w:szCs w:val="20"/>
          <w:lang w:val="en-US"/>
        </w:rPr>
        <w:t xml:space="preserve"> </w:t>
      </w:r>
      <w:r w:rsidR="00310F97" w:rsidRPr="008F23CC">
        <w:rPr>
          <w:rFonts w:ascii="Times New Roman" w:hAnsi="Times New Roman" w:cs="Times New Roman"/>
          <w:sz w:val="20"/>
          <w:szCs w:val="20"/>
          <w:lang w:val="en-US"/>
        </w:rPr>
        <w:t>Taking into account those costs, along with the</w:t>
      </w:r>
      <w:r w:rsidR="00310F97">
        <w:rPr>
          <w:rFonts w:ascii="Times New Roman" w:hAnsi="Times New Roman" w:cs="Times New Roman"/>
          <w:sz w:val="20"/>
          <w:szCs w:val="20"/>
          <w:lang w:val="en-US"/>
        </w:rPr>
        <w:t>,</w:t>
      </w:r>
      <w:r w:rsidR="00310F97" w:rsidRPr="008F23CC">
        <w:rPr>
          <w:rFonts w:ascii="Times New Roman" w:hAnsi="Times New Roman" w:cs="Times New Roman"/>
          <w:sz w:val="20"/>
          <w:szCs w:val="20"/>
          <w:lang w:val="en-US"/>
        </w:rPr>
        <w:t xml:space="preserve"> difficult to estimate</w:t>
      </w:r>
      <w:r w:rsidR="00310F97">
        <w:rPr>
          <w:rFonts w:ascii="Times New Roman" w:hAnsi="Times New Roman" w:cs="Times New Roman"/>
          <w:sz w:val="20"/>
          <w:szCs w:val="20"/>
          <w:lang w:val="en-US"/>
        </w:rPr>
        <w:t>,</w:t>
      </w:r>
      <w:r w:rsidR="00310F97" w:rsidRPr="008F23CC">
        <w:rPr>
          <w:rFonts w:ascii="Times New Roman" w:hAnsi="Times New Roman" w:cs="Times New Roman"/>
          <w:sz w:val="20"/>
          <w:szCs w:val="20"/>
          <w:lang w:val="en-US"/>
        </w:rPr>
        <w:t xml:space="preserve"> profit margins, and the quite high R&amp;D costs related to the present fuel cell production, the retail prices of smaller systems (up to 5 kW) range between 10.000 and 50.000 €/kW</w:t>
      </w:r>
      <w:r w:rsidR="00310F97" w:rsidRPr="008F23CC">
        <w:rPr>
          <w:rFonts w:ascii="Times New Roman" w:hAnsi="Times New Roman" w:cs="Times New Roman"/>
          <w:sz w:val="20"/>
          <w:szCs w:val="20"/>
          <w:vertAlign w:val="subscript"/>
          <w:lang w:val="en-US"/>
        </w:rPr>
        <w:t>el</w:t>
      </w:r>
      <w:r w:rsidR="00310F97" w:rsidRPr="008F23CC">
        <w:rPr>
          <w:rFonts w:ascii="Times New Roman" w:hAnsi="Times New Roman" w:cs="Times New Roman"/>
          <w:sz w:val="20"/>
          <w:szCs w:val="20"/>
          <w:lang w:val="en-US"/>
        </w:rPr>
        <w:t>, while larger ones are estimated between 5.000 and 18.000 €/kW</w:t>
      </w:r>
      <w:r w:rsidR="00310F97" w:rsidRPr="008F23CC">
        <w:rPr>
          <w:rFonts w:ascii="Times New Roman" w:hAnsi="Times New Roman" w:cs="Times New Roman"/>
          <w:sz w:val="20"/>
          <w:szCs w:val="20"/>
          <w:vertAlign w:val="subscript"/>
          <w:lang w:val="en-US"/>
        </w:rPr>
        <w:t>e</w:t>
      </w:r>
      <w:r w:rsidR="00310F97" w:rsidRPr="008F23CC">
        <w:rPr>
          <w:rFonts w:ascii="Times New Roman" w:hAnsi="Times New Roman" w:cs="Times New Roman"/>
          <w:sz w:val="20"/>
          <w:szCs w:val="20"/>
          <w:lang w:val="en-US"/>
        </w:rPr>
        <w:t xml:space="preserve"> [</w:t>
      </w:r>
      <w:r w:rsidR="00310F97">
        <w:rPr>
          <w:rFonts w:ascii="Times New Roman" w:hAnsi="Times New Roman" w:cs="Times New Roman"/>
          <w:sz w:val="20"/>
          <w:szCs w:val="20"/>
          <w:lang w:val="en-US"/>
        </w:rPr>
        <w:t>3</w:t>
      </w:r>
      <w:r w:rsidR="00310F97" w:rsidRPr="008F23CC">
        <w:rPr>
          <w:rFonts w:ascii="Times New Roman" w:hAnsi="Times New Roman" w:cs="Times New Roman"/>
          <w:sz w:val="20"/>
          <w:szCs w:val="20"/>
          <w:lang w:val="en-US"/>
        </w:rPr>
        <w:t xml:space="preserve">]. </w:t>
      </w:r>
      <w:r w:rsidR="00310F97">
        <w:rPr>
          <w:rFonts w:ascii="Times New Roman" w:hAnsi="Times New Roman" w:cs="Times New Roman"/>
          <w:sz w:val="20"/>
          <w:szCs w:val="20"/>
          <w:lang w:val="en-US"/>
        </w:rPr>
        <w:t>On the other hand,</w:t>
      </w:r>
      <w:r w:rsidR="00714EB2" w:rsidRPr="008F23CC">
        <w:rPr>
          <w:rFonts w:ascii="Times New Roman" w:hAnsi="Times New Roman" w:cs="Times New Roman"/>
          <w:sz w:val="20"/>
          <w:szCs w:val="20"/>
          <w:lang w:val="en-US"/>
        </w:rPr>
        <w:t xml:space="preserve"> the manufacturing cost of PEM fuel cells is reported to vary depending on scale, power electronics and reformer requirements, with retail prices vary</w:t>
      </w:r>
      <w:r w:rsidR="00075931">
        <w:rPr>
          <w:rFonts w:ascii="Times New Roman" w:hAnsi="Times New Roman" w:cs="Times New Roman"/>
          <w:sz w:val="20"/>
          <w:szCs w:val="20"/>
          <w:lang w:val="en-US"/>
        </w:rPr>
        <w:t xml:space="preserve">ing </w:t>
      </w:r>
      <w:r w:rsidR="00714EB2" w:rsidRPr="008F23CC">
        <w:rPr>
          <w:rFonts w:ascii="Times New Roman" w:hAnsi="Times New Roman" w:cs="Times New Roman"/>
          <w:sz w:val="20"/>
          <w:szCs w:val="20"/>
          <w:lang w:val="en-US"/>
        </w:rPr>
        <w:t>between $3,000/kW and $6,000/kW [</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6</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8</w:t>
      </w:r>
      <w:r w:rsidR="00714EB2" w:rsidRPr="008F23CC">
        <w:rPr>
          <w:rFonts w:ascii="Times New Roman" w:hAnsi="Times New Roman" w:cs="Times New Roman"/>
          <w:sz w:val="20"/>
          <w:szCs w:val="20"/>
          <w:lang w:val="en-US"/>
        </w:rPr>
        <w:t>].</w:t>
      </w:r>
    </w:p>
    <w:p w:rsidR="00A11891" w:rsidRPr="008F23CC" w:rsidRDefault="00A11891"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A11891" w:rsidRPr="008F23CC" w:rsidRDefault="00A11891" w:rsidP="007403BC">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Table </w:t>
      </w:r>
      <w:r w:rsidR="005A0509" w:rsidRPr="008F23CC">
        <w:rPr>
          <w:rFonts w:ascii="Times New Roman" w:hAnsi="Times New Roman" w:cs="Times New Roman"/>
          <w:b/>
          <w:sz w:val="20"/>
          <w:szCs w:val="20"/>
          <w:lang w:val="en-US"/>
        </w:rPr>
        <w:t>4</w:t>
      </w:r>
      <w:r w:rsidRPr="008F23CC">
        <w:rPr>
          <w:rFonts w:ascii="Times New Roman" w:hAnsi="Times New Roman" w:cs="Times New Roman"/>
          <w:sz w:val="20"/>
          <w:szCs w:val="20"/>
          <w:lang w:val="en-US"/>
        </w:rPr>
        <w:t xml:space="preserve"> </w:t>
      </w:r>
      <w:r w:rsidR="007403BC" w:rsidRPr="008F23CC">
        <w:rPr>
          <w:rFonts w:ascii="Times New Roman" w:hAnsi="Times New Roman" w:cs="Times New Roman"/>
          <w:sz w:val="20"/>
          <w:szCs w:val="20"/>
          <w:lang w:val="en-US"/>
        </w:rPr>
        <w:t xml:space="preserve">Estimates of current </w:t>
      </w:r>
      <w:r w:rsidRPr="008F23CC">
        <w:rPr>
          <w:rFonts w:ascii="Times New Roman" w:hAnsi="Times New Roman" w:cs="Times New Roman"/>
          <w:sz w:val="20"/>
          <w:szCs w:val="20"/>
          <w:lang w:val="en-US"/>
        </w:rPr>
        <w:t>SOFC and MCFC distributed power generation system cost [</w:t>
      </w:r>
      <w:r w:rsidR="000B6E1B">
        <w:rPr>
          <w:rFonts w:ascii="Times New Roman" w:hAnsi="Times New Roman" w:cs="Times New Roman"/>
          <w:sz w:val="20"/>
          <w:szCs w:val="20"/>
          <w:lang w:val="en-US"/>
        </w:rPr>
        <w:t>4</w:t>
      </w:r>
      <w:r w:rsidR="001710B0">
        <w:rPr>
          <w:rFonts w:ascii="Times New Roman" w:hAnsi="Times New Roman" w:cs="Times New Roman"/>
          <w:sz w:val="20"/>
          <w:szCs w:val="20"/>
          <w:lang w:val="en-US"/>
        </w:rPr>
        <w:t>5</w:t>
      </w:r>
      <w:r w:rsidRPr="008F23CC">
        <w:rPr>
          <w:rFonts w:ascii="Times New Roman" w:hAnsi="Times New Roman" w:cs="Times New Roman"/>
          <w:sz w:val="20"/>
          <w:szCs w:val="20"/>
          <w:lang w:val="en-US"/>
        </w:rPr>
        <w:t>]</w:t>
      </w:r>
    </w:p>
    <w:tbl>
      <w:tblPr>
        <w:tblW w:w="8198" w:type="dxa"/>
        <w:tblInd w:w="108" w:type="dxa"/>
        <w:tblBorders>
          <w:top w:val="single" w:sz="4" w:space="0" w:color="auto"/>
          <w:bottom w:val="single" w:sz="4" w:space="0" w:color="auto"/>
        </w:tblBorders>
        <w:tblLook w:val="04A0"/>
      </w:tblPr>
      <w:tblGrid>
        <w:gridCol w:w="2517"/>
        <w:gridCol w:w="1419"/>
        <w:gridCol w:w="1420"/>
        <w:gridCol w:w="1421"/>
        <w:gridCol w:w="1421"/>
      </w:tblGrid>
      <w:tr w:rsidR="00593309" w:rsidRPr="00272FC0" w:rsidTr="00272FC0">
        <w:tc>
          <w:tcPr>
            <w:tcW w:w="2517" w:type="dxa"/>
          </w:tcPr>
          <w:p w:rsidR="00593309" w:rsidRPr="00272FC0" w:rsidRDefault="00593309" w:rsidP="003066A0">
            <w:pPr>
              <w:widowControl w:val="0"/>
              <w:autoSpaceDE w:val="0"/>
              <w:autoSpaceDN w:val="0"/>
              <w:adjustRightInd w:val="0"/>
              <w:spacing w:after="0" w:line="240" w:lineRule="auto"/>
              <w:rPr>
                <w:rFonts w:ascii="Times New Roman" w:hAnsi="Times New Roman" w:cs="Times New Roman"/>
                <w:sz w:val="18"/>
                <w:szCs w:val="18"/>
                <w:lang w:val="en-US"/>
              </w:rPr>
            </w:pPr>
          </w:p>
        </w:tc>
        <w:tc>
          <w:tcPr>
            <w:tcW w:w="2839" w:type="dxa"/>
            <w:gridSpan w:val="2"/>
            <w:tcBorders>
              <w:top w:val="single" w:sz="4" w:space="0" w:color="auto"/>
              <w:bottom w:val="single" w:sz="4" w:space="0" w:color="auto"/>
            </w:tcBorders>
          </w:tcPr>
          <w:p w:rsidR="00593309" w:rsidRPr="00272FC0" w:rsidRDefault="00593309"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SOFC</w:t>
            </w:r>
          </w:p>
        </w:tc>
        <w:tc>
          <w:tcPr>
            <w:tcW w:w="2842" w:type="dxa"/>
            <w:gridSpan w:val="2"/>
            <w:tcBorders>
              <w:top w:val="single" w:sz="4" w:space="0" w:color="auto"/>
              <w:bottom w:val="single" w:sz="4" w:space="0" w:color="auto"/>
            </w:tcBorders>
          </w:tcPr>
          <w:p w:rsidR="00593309" w:rsidRPr="00272FC0" w:rsidRDefault="00593309"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MCFC</w:t>
            </w:r>
          </w:p>
        </w:tc>
      </w:tr>
      <w:tr w:rsidR="00593309" w:rsidRPr="00272FC0" w:rsidTr="00272FC0">
        <w:tc>
          <w:tcPr>
            <w:tcW w:w="2517" w:type="dxa"/>
            <w:tcBorders>
              <w:bottom w:val="single" w:sz="4" w:space="0" w:color="auto"/>
            </w:tcBorders>
          </w:tcPr>
          <w:p w:rsidR="00593309" w:rsidRPr="00272FC0" w:rsidRDefault="00593309" w:rsidP="003066A0">
            <w:pPr>
              <w:widowControl w:val="0"/>
              <w:autoSpaceDE w:val="0"/>
              <w:autoSpaceDN w:val="0"/>
              <w:adjustRightInd w:val="0"/>
              <w:spacing w:after="0" w:line="240" w:lineRule="auto"/>
              <w:rPr>
                <w:rFonts w:ascii="Times New Roman" w:hAnsi="Times New Roman" w:cs="Times New Roman"/>
                <w:sz w:val="18"/>
                <w:szCs w:val="18"/>
                <w:lang w:val="en-US"/>
              </w:rPr>
            </w:pPr>
          </w:p>
        </w:tc>
        <w:tc>
          <w:tcPr>
            <w:tcW w:w="1419" w:type="dxa"/>
            <w:tcBorders>
              <w:top w:val="single" w:sz="4" w:space="0" w:color="auto"/>
              <w:bottom w:val="single" w:sz="4" w:space="0" w:color="auto"/>
            </w:tcBorders>
          </w:tcPr>
          <w:p w:rsidR="00593309" w:rsidRPr="00272FC0" w:rsidRDefault="00910ACE"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w:t>
            </w:r>
            <w:r w:rsidR="00593309" w:rsidRPr="00272FC0">
              <w:rPr>
                <w:rFonts w:ascii="Times New Roman" w:hAnsi="Times New Roman" w:cs="Times New Roman"/>
                <w:sz w:val="18"/>
                <w:szCs w:val="18"/>
                <w:lang w:val="en-US"/>
              </w:rPr>
              <w:t>kW</w:t>
            </w:r>
            <w:r w:rsidR="00593309" w:rsidRPr="00272FC0">
              <w:rPr>
                <w:rFonts w:ascii="Times New Roman" w:hAnsi="Times New Roman" w:cs="Times New Roman"/>
                <w:sz w:val="18"/>
                <w:szCs w:val="18"/>
                <w:vertAlign w:val="subscript"/>
                <w:lang w:val="en-US"/>
              </w:rPr>
              <w:t>e</w:t>
            </w:r>
          </w:p>
        </w:tc>
        <w:tc>
          <w:tcPr>
            <w:tcW w:w="1420" w:type="dxa"/>
            <w:tcBorders>
              <w:top w:val="single" w:sz="4" w:space="0" w:color="auto"/>
              <w:bottom w:val="single" w:sz="4" w:space="0" w:color="auto"/>
            </w:tcBorders>
          </w:tcPr>
          <w:p w:rsidR="00593309" w:rsidRPr="00272FC0" w:rsidRDefault="00593309"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share, %</w:t>
            </w:r>
          </w:p>
        </w:tc>
        <w:tc>
          <w:tcPr>
            <w:tcW w:w="1421" w:type="dxa"/>
            <w:tcBorders>
              <w:top w:val="single" w:sz="4" w:space="0" w:color="auto"/>
              <w:bottom w:val="single" w:sz="4" w:space="0" w:color="auto"/>
            </w:tcBorders>
          </w:tcPr>
          <w:p w:rsidR="00593309" w:rsidRPr="00272FC0" w:rsidRDefault="00910ACE"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w:t>
            </w:r>
            <w:r w:rsidR="00593309" w:rsidRPr="00272FC0">
              <w:rPr>
                <w:rFonts w:ascii="Times New Roman" w:hAnsi="Times New Roman" w:cs="Times New Roman"/>
                <w:sz w:val="18"/>
                <w:szCs w:val="18"/>
                <w:lang w:val="en-US"/>
              </w:rPr>
              <w:t>/ kW</w:t>
            </w:r>
            <w:r w:rsidR="00593309" w:rsidRPr="00272FC0">
              <w:rPr>
                <w:rFonts w:ascii="Times New Roman" w:hAnsi="Times New Roman" w:cs="Times New Roman"/>
                <w:sz w:val="18"/>
                <w:szCs w:val="18"/>
                <w:vertAlign w:val="subscript"/>
                <w:lang w:val="en-US"/>
              </w:rPr>
              <w:t>e</w:t>
            </w:r>
          </w:p>
        </w:tc>
        <w:tc>
          <w:tcPr>
            <w:tcW w:w="1421" w:type="dxa"/>
            <w:tcBorders>
              <w:top w:val="single" w:sz="4" w:space="0" w:color="auto"/>
              <w:bottom w:val="single" w:sz="4" w:space="0" w:color="auto"/>
            </w:tcBorders>
          </w:tcPr>
          <w:p w:rsidR="00593309" w:rsidRPr="00272FC0" w:rsidRDefault="00593309" w:rsidP="0059330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share, %</w:t>
            </w:r>
          </w:p>
        </w:tc>
      </w:tr>
      <w:tr w:rsidR="00910ACE" w:rsidRPr="00272FC0" w:rsidTr="00272FC0">
        <w:tc>
          <w:tcPr>
            <w:tcW w:w="2517" w:type="dxa"/>
            <w:tcBorders>
              <w:top w:val="single" w:sz="4" w:space="0" w:color="auto"/>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fuel cell stack</w:t>
            </w:r>
          </w:p>
        </w:tc>
        <w:tc>
          <w:tcPr>
            <w:tcW w:w="1419" w:type="dxa"/>
            <w:tcBorders>
              <w:top w:val="single" w:sz="4" w:space="0" w:color="auto"/>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4714</w:t>
            </w:r>
          </w:p>
        </w:tc>
        <w:tc>
          <w:tcPr>
            <w:tcW w:w="1420" w:type="dxa"/>
            <w:tcBorders>
              <w:top w:val="single" w:sz="4" w:space="0" w:color="auto"/>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42</w:t>
            </w:r>
          </w:p>
        </w:tc>
        <w:tc>
          <w:tcPr>
            <w:tcW w:w="1421" w:type="dxa"/>
            <w:tcBorders>
              <w:top w:val="single" w:sz="4" w:space="0" w:color="auto"/>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4661</w:t>
            </w:r>
          </w:p>
        </w:tc>
        <w:tc>
          <w:tcPr>
            <w:tcW w:w="1421" w:type="dxa"/>
            <w:tcBorders>
              <w:top w:val="single" w:sz="4" w:space="0" w:color="auto"/>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50</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boiler</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4672</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41</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2146</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23</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operating system</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1231</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820</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9</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reformer</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52</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0</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544</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6</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heat exchanger</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274</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286</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3</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burner</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109</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258</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air supply</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118</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31</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0</w:t>
            </w:r>
          </w:p>
        </w:tc>
      </w:tr>
      <w:tr w:rsidR="00910ACE" w:rsidRPr="00272FC0" w:rsidTr="00272FC0">
        <w:tc>
          <w:tcPr>
            <w:tcW w:w="2517" w:type="dxa"/>
            <w:tcBorders>
              <w:top w:val="nil"/>
              <w:bottom w:val="nil"/>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inverter</w:t>
            </w:r>
          </w:p>
        </w:tc>
        <w:tc>
          <w:tcPr>
            <w:tcW w:w="1419" w:type="dxa"/>
            <w:tcBorders>
              <w:top w:val="nil"/>
              <w:bottom w:val="nil"/>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151</w:t>
            </w:r>
          </w:p>
        </w:tc>
        <w:tc>
          <w:tcPr>
            <w:tcW w:w="1420" w:type="dxa"/>
            <w:tcBorders>
              <w:top w:val="nil"/>
              <w:bottom w:val="nil"/>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c>
          <w:tcPr>
            <w:tcW w:w="1421" w:type="dxa"/>
            <w:tcBorders>
              <w:top w:val="nil"/>
              <w:bottom w:val="nil"/>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88</w:t>
            </w:r>
          </w:p>
        </w:tc>
        <w:tc>
          <w:tcPr>
            <w:tcW w:w="1421" w:type="dxa"/>
            <w:tcBorders>
              <w:top w:val="nil"/>
              <w:bottom w:val="nil"/>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1</w:t>
            </w:r>
          </w:p>
        </w:tc>
      </w:tr>
      <w:tr w:rsidR="00910ACE" w:rsidRPr="00272FC0" w:rsidTr="00272FC0">
        <w:tc>
          <w:tcPr>
            <w:tcW w:w="2517" w:type="dxa"/>
            <w:tcBorders>
              <w:top w:val="nil"/>
              <w:bottom w:val="single" w:sz="4" w:space="0" w:color="auto"/>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frame</w:t>
            </w:r>
          </w:p>
        </w:tc>
        <w:tc>
          <w:tcPr>
            <w:tcW w:w="1419" w:type="dxa"/>
            <w:tcBorders>
              <w:top w:val="nil"/>
              <w:bottom w:val="single" w:sz="4" w:space="0" w:color="auto"/>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0</w:t>
            </w:r>
          </w:p>
        </w:tc>
        <w:tc>
          <w:tcPr>
            <w:tcW w:w="1420" w:type="dxa"/>
            <w:tcBorders>
              <w:top w:val="nil"/>
              <w:bottom w:val="single" w:sz="4" w:space="0" w:color="auto"/>
            </w:tcBorders>
            <w:vAlign w:val="bottom"/>
          </w:tcPr>
          <w:p w:rsidR="00910ACE" w:rsidRPr="00272FC0" w:rsidRDefault="00910ACE" w:rsidP="00910ACE">
            <w:pPr>
              <w:widowControl w:val="0"/>
              <w:spacing w:after="0" w:line="240" w:lineRule="auto"/>
              <w:ind w:left="-958" w:right="471"/>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0</w:t>
            </w:r>
          </w:p>
        </w:tc>
        <w:tc>
          <w:tcPr>
            <w:tcW w:w="1421" w:type="dxa"/>
            <w:tcBorders>
              <w:top w:val="nil"/>
              <w:bottom w:val="single" w:sz="4" w:space="0" w:color="auto"/>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500</w:t>
            </w:r>
          </w:p>
        </w:tc>
        <w:tc>
          <w:tcPr>
            <w:tcW w:w="1421" w:type="dxa"/>
            <w:tcBorders>
              <w:top w:val="nil"/>
              <w:bottom w:val="single" w:sz="4" w:space="0" w:color="auto"/>
            </w:tcBorders>
            <w:vAlign w:val="bottom"/>
          </w:tcPr>
          <w:p w:rsidR="00910ACE" w:rsidRPr="00272FC0" w:rsidRDefault="00910ACE" w:rsidP="00910ACE">
            <w:pPr>
              <w:widowControl w:val="0"/>
              <w:spacing w:after="0" w:line="240" w:lineRule="auto"/>
              <w:ind w:left="-958" w:right="46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w:t>
            </w:r>
          </w:p>
        </w:tc>
      </w:tr>
      <w:tr w:rsidR="00910ACE" w:rsidRPr="00272FC0" w:rsidTr="00272FC0">
        <w:tc>
          <w:tcPr>
            <w:tcW w:w="2517" w:type="dxa"/>
            <w:tcBorders>
              <w:top w:val="single" w:sz="4" w:space="0" w:color="auto"/>
            </w:tcBorders>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Total</w:t>
            </w:r>
          </w:p>
        </w:tc>
        <w:tc>
          <w:tcPr>
            <w:tcW w:w="1419" w:type="dxa"/>
            <w:tcBorders>
              <w:top w:val="single" w:sz="4" w:space="0" w:color="auto"/>
            </w:tcBorders>
            <w:vAlign w:val="bottom"/>
          </w:tcPr>
          <w:p w:rsidR="00910ACE" w:rsidRPr="00272FC0" w:rsidRDefault="00910ACE" w:rsidP="00910ACE">
            <w:pPr>
              <w:spacing w:after="0" w:line="240" w:lineRule="auto"/>
              <w:ind w:right="318"/>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11319</w:t>
            </w:r>
          </w:p>
        </w:tc>
        <w:tc>
          <w:tcPr>
            <w:tcW w:w="1420" w:type="dxa"/>
            <w:tcBorders>
              <w:top w:val="single" w:sz="4" w:space="0" w:color="auto"/>
            </w:tcBorders>
          </w:tcPr>
          <w:p w:rsidR="00910ACE" w:rsidRPr="00272FC0" w:rsidRDefault="00910ACE" w:rsidP="00910ACE">
            <w:pPr>
              <w:widowControl w:val="0"/>
              <w:autoSpaceDE w:val="0"/>
              <w:autoSpaceDN w:val="0"/>
              <w:adjustRightInd w:val="0"/>
              <w:spacing w:after="0" w:line="240" w:lineRule="auto"/>
              <w:ind w:left="-958" w:right="320"/>
              <w:jc w:val="right"/>
              <w:rPr>
                <w:rFonts w:ascii="Times New Roman" w:hAnsi="Times New Roman" w:cs="Times New Roman"/>
                <w:sz w:val="18"/>
                <w:szCs w:val="18"/>
                <w:lang w:val="en-US"/>
              </w:rPr>
            </w:pPr>
          </w:p>
        </w:tc>
        <w:tc>
          <w:tcPr>
            <w:tcW w:w="1421" w:type="dxa"/>
            <w:tcBorders>
              <w:top w:val="single" w:sz="4" w:space="0" w:color="auto"/>
            </w:tcBorders>
            <w:vAlign w:val="bottom"/>
          </w:tcPr>
          <w:p w:rsidR="00910ACE" w:rsidRPr="00272FC0" w:rsidRDefault="00910ACE" w:rsidP="00910ACE">
            <w:pPr>
              <w:spacing w:after="0" w:line="240" w:lineRule="auto"/>
              <w:ind w:right="324"/>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9334</w:t>
            </w:r>
          </w:p>
        </w:tc>
        <w:tc>
          <w:tcPr>
            <w:tcW w:w="1421" w:type="dxa"/>
            <w:tcBorders>
              <w:top w:val="single" w:sz="4" w:space="0" w:color="auto"/>
            </w:tcBorders>
          </w:tcPr>
          <w:p w:rsidR="00910ACE" w:rsidRPr="00272FC0" w:rsidRDefault="00910ACE" w:rsidP="00910ACE">
            <w:pPr>
              <w:widowControl w:val="0"/>
              <w:autoSpaceDE w:val="0"/>
              <w:autoSpaceDN w:val="0"/>
              <w:adjustRightInd w:val="0"/>
              <w:spacing w:after="0" w:line="240" w:lineRule="auto"/>
              <w:ind w:left="-958" w:right="320"/>
              <w:jc w:val="right"/>
              <w:rPr>
                <w:rFonts w:ascii="Times New Roman" w:hAnsi="Times New Roman" w:cs="Times New Roman"/>
                <w:sz w:val="18"/>
                <w:szCs w:val="18"/>
                <w:lang w:val="en-US"/>
              </w:rPr>
            </w:pPr>
          </w:p>
        </w:tc>
      </w:tr>
    </w:tbl>
    <w:p w:rsidR="00A11891" w:rsidRPr="008F23CC" w:rsidRDefault="00A11891"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1E3293" w:rsidRPr="008F23CC" w:rsidRDefault="001E3293" w:rsidP="003066A0">
      <w:pPr>
        <w:widowControl w:val="0"/>
        <w:autoSpaceDE w:val="0"/>
        <w:autoSpaceDN w:val="0"/>
        <w:adjustRightInd w:val="0"/>
        <w:spacing w:after="0" w:line="240" w:lineRule="auto"/>
        <w:rPr>
          <w:rFonts w:ascii="Times New Roman" w:hAnsi="Times New Roman" w:cs="Times New Roman"/>
          <w:b/>
          <w:sz w:val="20"/>
          <w:szCs w:val="20"/>
          <w:lang w:val="en-US"/>
        </w:rPr>
      </w:pPr>
    </w:p>
    <w:p w:rsidR="0064249C" w:rsidRPr="008F23CC" w:rsidRDefault="0064249C" w:rsidP="003066A0">
      <w:pPr>
        <w:widowControl w:val="0"/>
        <w:autoSpaceDE w:val="0"/>
        <w:autoSpaceDN w:val="0"/>
        <w:adjustRightInd w:val="0"/>
        <w:spacing w:after="0" w:line="240" w:lineRule="auto"/>
        <w:rPr>
          <w:rFonts w:ascii="Times New Roman" w:hAnsi="Times New Roman" w:cs="Times New Roman"/>
          <w:b/>
          <w:sz w:val="20"/>
          <w:szCs w:val="20"/>
          <w:lang w:val="en-US"/>
        </w:rPr>
      </w:pPr>
      <w:r w:rsidRPr="008F23CC">
        <w:rPr>
          <w:rFonts w:ascii="Times New Roman" w:hAnsi="Times New Roman" w:cs="Times New Roman"/>
          <w:b/>
          <w:sz w:val="20"/>
          <w:szCs w:val="20"/>
          <w:lang w:val="en-US"/>
        </w:rPr>
        <w:t>Technology Advancements and Learning Effects</w:t>
      </w:r>
    </w:p>
    <w:p w:rsidR="00310F97" w:rsidRDefault="00633E2D" w:rsidP="00747BD4">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 xml:space="preserve">Whether fuel cell components are manually manufactured, or produced by large-scale industrial processes, is </w:t>
      </w:r>
      <w:r w:rsidR="009923F8" w:rsidRPr="008F23CC">
        <w:rPr>
          <w:rFonts w:ascii="Times New Roman" w:hAnsi="Times New Roman" w:cs="Times New Roman"/>
          <w:color w:val="000000"/>
          <w:sz w:val="20"/>
          <w:szCs w:val="20"/>
          <w:lang w:val="en-US"/>
        </w:rPr>
        <w:t xml:space="preserve">widely </w:t>
      </w:r>
      <w:r w:rsidRPr="008F23CC">
        <w:rPr>
          <w:rFonts w:ascii="Times New Roman" w:hAnsi="Times New Roman" w:cs="Times New Roman"/>
          <w:color w:val="000000"/>
          <w:sz w:val="20"/>
          <w:szCs w:val="20"/>
          <w:lang w:val="en-US"/>
        </w:rPr>
        <w:t xml:space="preserve">recognized as a point of major importance, </w:t>
      </w:r>
      <w:r w:rsidR="00CE11FE" w:rsidRPr="008F23CC">
        <w:rPr>
          <w:rFonts w:ascii="Times New Roman" w:hAnsi="Times New Roman" w:cs="Times New Roman"/>
          <w:color w:val="000000"/>
          <w:sz w:val="20"/>
          <w:szCs w:val="20"/>
          <w:lang w:val="en-US"/>
        </w:rPr>
        <w:t>in order to</w:t>
      </w:r>
      <w:r w:rsidRPr="008F23CC">
        <w:rPr>
          <w:rFonts w:ascii="Times New Roman" w:hAnsi="Times New Roman" w:cs="Times New Roman"/>
          <w:color w:val="000000"/>
          <w:sz w:val="20"/>
          <w:szCs w:val="20"/>
          <w:lang w:val="en-US"/>
        </w:rPr>
        <w:t xml:space="preserve"> reduce the fuel cell cost</w:t>
      </w:r>
      <w:r w:rsidR="00DA5C68" w:rsidRPr="008F23CC">
        <w:rPr>
          <w:rFonts w:ascii="Times New Roman" w:hAnsi="Times New Roman" w:cs="Times New Roman"/>
          <w:color w:val="000000"/>
          <w:sz w:val="20"/>
          <w:szCs w:val="20"/>
          <w:lang w:val="en-US"/>
        </w:rPr>
        <w:t>s and retail prices</w:t>
      </w:r>
      <w:r w:rsidRPr="008F23CC">
        <w:rPr>
          <w:rFonts w:ascii="Times New Roman" w:hAnsi="Times New Roman" w:cs="Times New Roman"/>
          <w:color w:val="000000"/>
          <w:sz w:val="20"/>
          <w:szCs w:val="20"/>
          <w:lang w:val="en-US"/>
        </w:rPr>
        <w:t xml:space="preserve">. </w:t>
      </w:r>
      <w:r w:rsidR="00593309" w:rsidRPr="008F23CC">
        <w:rPr>
          <w:rFonts w:ascii="Times New Roman" w:hAnsi="Times New Roman" w:cs="Times New Roman"/>
          <w:color w:val="000000"/>
          <w:sz w:val="20"/>
          <w:szCs w:val="20"/>
          <w:lang w:val="en-US"/>
        </w:rPr>
        <w:t xml:space="preserve">In 2000, </w:t>
      </w:r>
      <w:r w:rsidR="00310F97">
        <w:rPr>
          <w:rFonts w:ascii="Times New Roman" w:hAnsi="Times New Roman" w:cs="Times New Roman"/>
          <w:color w:val="000000"/>
          <w:sz w:val="20"/>
          <w:szCs w:val="20"/>
          <w:lang w:val="en-US"/>
        </w:rPr>
        <w:t>the</w:t>
      </w:r>
      <w:r w:rsidRPr="008F23CC">
        <w:rPr>
          <w:rFonts w:ascii="Times New Roman" w:hAnsi="Times New Roman" w:cs="Times New Roman"/>
          <w:color w:val="000000"/>
          <w:sz w:val="20"/>
          <w:szCs w:val="20"/>
          <w:lang w:val="en-US"/>
        </w:rPr>
        <w:t xml:space="preserve"> estimated production cost </w:t>
      </w:r>
      <w:r w:rsidR="00310F97">
        <w:rPr>
          <w:rFonts w:ascii="Times New Roman" w:hAnsi="Times New Roman" w:cs="Times New Roman"/>
          <w:color w:val="000000"/>
          <w:sz w:val="20"/>
          <w:szCs w:val="20"/>
          <w:lang w:val="en-US"/>
        </w:rPr>
        <w:t xml:space="preserve">was </w:t>
      </w:r>
      <w:r w:rsidR="00DA5C68" w:rsidRPr="008F23CC">
        <w:rPr>
          <w:rFonts w:ascii="Times New Roman" w:hAnsi="Times New Roman" w:cs="Times New Roman"/>
          <w:color w:val="000000"/>
          <w:sz w:val="20"/>
          <w:szCs w:val="20"/>
          <w:lang w:val="en-US"/>
        </w:rPr>
        <w:t>around</w:t>
      </w:r>
      <w:r w:rsidRPr="008F23CC">
        <w:rPr>
          <w:rFonts w:ascii="Times New Roman" w:hAnsi="Times New Roman" w:cs="Times New Roman"/>
          <w:color w:val="000000"/>
          <w:sz w:val="20"/>
          <w:szCs w:val="20"/>
          <w:lang w:val="en-US"/>
        </w:rPr>
        <w:t xml:space="preserve"> 1</w:t>
      </w:r>
      <w:r w:rsidR="00DA5C68" w:rsidRPr="008F23CC">
        <w:rPr>
          <w:rFonts w:ascii="Times New Roman" w:hAnsi="Times New Roman" w:cs="Times New Roman"/>
          <w:color w:val="000000"/>
          <w:sz w:val="20"/>
          <w:szCs w:val="20"/>
          <w:lang w:val="en-US"/>
        </w:rPr>
        <w:t>0</w:t>
      </w:r>
      <w:r w:rsidRPr="008F23CC">
        <w:rPr>
          <w:rFonts w:ascii="Times New Roman" w:hAnsi="Times New Roman" w:cs="Times New Roman"/>
          <w:color w:val="000000"/>
          <w:sz w:val="20"/>
          <w:szCs w:val="20"/>
          <w:lang w:val="en-US"/>
        </w:rPr>
        <w:t>0</w:t>
      </w:r>
      <w:r w:rsidR="00BA4B8B" w:rsidRPr="008F23CC">
        <w:rPr>
          <w:rFonts w:ascii="Times New Roman" w:hAnsi="Times New Roman" w:cs="Times New Roman"/>
          <w:color w:val="000000"/>
          <w:sz w:val="20"/>
          <w:szCs w:val="20"/>
          <w:lang w:val="en-US"/>
        </w:rPr>
        <w:t xml:space="preserve"> </w:t>
      </w:r>
      <w:r w:rsidR="00DA5C68"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/kW</w:t>
      </w:r>
      <w:r w:rsidR="00593309"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for </w:t>
      </w:r>
      <w:r w:rsidR="00CE11FE" w:rsidRPr="008F23CC">
        <w:rPr>
          <w:rFonts w:ascii="Times New Roman" w:hAnsi="Times New Roman" w:cs="Times New Roman"/>
          <w:color w:val="000000"/>
          <w:sz w:val="20"/>
          <w:szCs w:val="20"/>
          <w:lang w:val="en-US"/>
        </w:rPr>
        <w:t>an annual</w:t>
      </w:r>
      <w:r w:rsidRPr="008F23CC">
        <w:rPr>
          <w:rFonts w:ascii="Times New Roman" w:hAnsi="Times New Roman" w:cs="Times New Roman"/>
          <w:color w:val="000000"/>
          <w:sz w:val="20"/>
          <w:szCs w:val="20"/>
          <w:lang w:val="en-US"/>
        </w:rPr>
        <w:t xml:space="preserve"> produc</w:t>
      </w:r>
      <w:r w:rsidR="00CE11FE" w:rsidRPr="008F23CC">
        <w:rPr>
          <w:rFonts w:ascii="Times New Roman" w:hAnsi="Times New Roman" w:cs="Times New Roman"/>
          <w:color w:val="000000"/>
          <w:sz w:val="20"/>
          <w:szCs w:val="20"/>
          <w:lang w:val="en-US"/>
        </w:rPr>
        <w:t>tion</w:t>
      </w:r>
      <w:r w:rsidRPr="008F23CC">
        <w:rPr>
          <w:rFonts w:ascii="Times New Roman" w:hAnsi="Times New Roman" w:cs="Times New Roman"/>
          <w:color w:val="000000"/>
          <w:sz w:val="20"/>
          <w:szCs w:val="20"/>
          <w:lang w:val="en-US"/>
        </w:rPr>
        <w:t xml:space="preserve"> 500</w:t>
      </w:r>
      <w:r w:rsidR="00BA4B8B"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000 </w:t>
      </w:r>
      <w:r w:rsidR="00CE11FE" w:rsidRPr="008F23CC">
        <w:rPr>
          <w:rFonts w:ascii="Times New Roman" w:hAnsi="Times New Roman" w:cs="Times New Roman"/>
          <w:color w:val="000000"/>
          <w:sz w:val="20"/>
          <w:szCs w:val="20"/>
          <w:lang w:val="en-US"/>
        </w:rPr>
        <w:t>PEMs, o</w:t>
      </w:r>
      <w:r w:rsidRPr="008F23CC">
        <w:rPr>
          <w:rFonts w:ascii="Times New Roman" w:hAnsi="Times New Roman" w:cs="Times New Roman"/>
          <w:color w:val="000000"/>
          <w:sz w:val="20"/>
          <w:szCs w:val="20"/>
          <w:lang w:val="en-US"/>
        </w:rPr>
        <w:t>ptimized for power output</w:t>
      </w:r>
      <w:r w:rsidR="00DA5C68" w:rsidRPr="008F23CC">
        <w:rPr>
          <w:rFonts w:ascii="Times New Roman" w:hAnsi="Times New Roman" w:cs="Times New Roman"/>
          <w:color w:val="000000"/>
          <w:sz w:val="20"/>
          <w:szCs w:val="20"/>
          <w:lang w:val="en-US"/>
        </w:rPr>
        <w:t xml:space="preserve"> (</w:t>
      </w:r>
      <w:r w:rsidR="00CE11FE" w:rsidRPr="008F23CC">
        <w:rPr>
          <w:rFonts w:ascii="Times New Roman" w:hAnsi="Times New Roman" w:cs="Times New Roman"/>
          <w:color w:val="000000"/>
          <w:sz w:val="20"/>
          <w:szCs w:val="20"/>
          <w:lang w:val="en-US"/>
        </w:rPr>
        <w:t xml:space="preserve">which </w:t>
      </w:r>
      <w:r w:rsidRPr="008F23CC">
        <w:rPr>
          <w:rFonts w:ascii="Times New Roman" w:hAnsi="Times New Roman" w:cs="Times New Roman"/>
          <w:color w:val="000000"/>
          <w:sz w:val="20"/>
          <w:szCs w:val="20"/>
          <w:lang w:val="en-US"/>
        </w:rPr>
        <w:t xml:space="preserve">are expected </w:t>
      </w:r>
      <w:r w:rsidR="00310F97">
        <w:rPr>
          <w:rFonts w:ascii="Times New Roman" w:hAnsi="Times New Roman" w:cs="Times New Roman"/>
          <w:color w:val="000000"/>
          <w:sz w:val="20"/>
          <w:szCs w:val="20"/>
          <w:lang w:val="en-US"/>
        </w:rPr>
        <w:t xml:space="preserve">to </w:t>
      </w:r>
      <w:r w:rsidRPr="008F23CC">
        <w:rPr>
          <w:rFonts w:ascii="Times New Roman" w:hAnsi="Times New Roman" w:cs="Times New Roman"/>
          <w:color w:val="000000"/>
          <w:sz w:val="20"/>
          <w:szCs w:val="20"/>
          <w:lang w:val="en-US"/>
        </w:rPr>
        <w:t>have significantly lower costs per kW</w:t>
      </w:r>
      <w:r w:rsidR="00593309"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due to higher power densities</w:t>
      </w:r>
      <w:r w:rsidR="00DA5C68"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 </w:t>
      </w:r>
      <w:r w:rsidR="00E51970">
        <w:rPr>
          <w:rFonts w:ascii="Times New Roman" w:hAnsi="Times New Roman" w:cs="Times New Roman"/>
          <w:color w:val="000000"/>
          <w:sz w:val="20"/>
          <w:szCs w:val="20"/>
          <w:lang w:val="en-US"/>
        </w:rPr>
        <w:t>[4</w:t>
      </w:r>
      <w:r w:rsidR="001710B0">
        <w:rPr>
          <w:rFonts w:ascii="Times New Roman" w:hAnsi="Times New Roman" w:cs="Times New Roman"/>
          <w:color w:val="000000"/>
          <w:sz w:val="20"/>
          <w:szCs w:val="20"/>
          <w:lang w:val="en-US"/>
        </w:rPr>
        <w:t>9</w:t>
      </w:r>
      <w:r w:rsidR="00E51970">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 </w:t>
      </w:r>
      <w:r w:rsidR="00CE11FE" w:rsidRPr="008F23CC">
        <w:rPr>
          <w:rFonts w:ascii="Times New Roman" w:hAnsi="Times New Roman" w:cs="Times New Roman"/>
          <w:color w:val="000000"/>
          <w:sz w:val="20"/>
          <w:szCs w:val="20"/>
          <w:lang w:val="en-US"/>
        </w:rPr>
        <w:t xml:space="preserve">In 2005, Ballard claimed </w:t>
      </w:r>
      <w:r w:rsidRPr="008F23CC">
        <w:rPr>
          <w:rFonts w:ascii="Times New Roman" w:hAnsi="Times New Roman" w:cs="Times New Roman"/>
          <w:color w:val="000000"/>
          <w:sz w:val="20"/>
          <w:szCs w:val="20"/>
          <w:lang w:val="en-US"/>
        </w:rPr>
        <w:t xml:space="preserve">that </w:t>
      </w:r>
      <w:r w:rsidR="00CE11FE" w:rsidRPr="008F23CC">
        <w:rPr>
          <w:rFonts w:ascii="Times New Roman" w:hAnsi="Times New Roman" w:cs="Times New Roman"/>
          <w:color w:val="000000"/>
          <w:sz w:val="20"/>
          <w:szCs w:val="20"/>
          <w:lang w:val="en-US"/>
        </w:rPr>
        <w:t>PEM</w:t>
      </w:r>
      <w:r w:rsidRPr="008F23CC">
        <w:rPr>
          <w:rFonts w:ascii="Times New Roman" w:hAnsi="Times New Roman" w:cs="Times New Roman"/>
          <w:color w:val="000000"/>
          <w:sz w:val="20"/>
          <w:szCs w:val="20"/>
          <w:lang w:val="en-US"/>
        </w:rPr>
        <w:t xml:space="preserve"> </w:t>
      </w:r>
      <w:r w:rsidR="00CE11FE" w:rsidRPr="008F23CC">
        <w:rPr>
          <w:rFonts w:ascii="Times New Roman" w:hAnsi="Times New Roman" w:cs="Times New Roman"/>
          <w:color w:val="000000"/>
          <w:sz w:val="20"/>
          <w:szCs w:val="20"/>
          <w:lang w:val="en-US"/>
        </w:rPr>
        <w:t xml:space="preserve">manufacturing cost </w:t>
      </w:r>
      <w:r w:rsidR="00593309" w:rsidRPr="008F23CC">
        <w:rPr>
          <w:rFonts w:ascii="Times New Roman" w:hAnsi="Times New Roman" w:cs="Times New Roman"/>
          <w:color w:val="000000"/>
          <w:sz w:val="20"/>
          <w:szCs w:val="20"/>
          <w:lang w:val="en-US"/>
        </w:rPr>
        <w:t>could</w:t>
      </w:r>
      <w:r w:rsidR="00CE11FE" w:rsidRPr="008F23CC">
        <w:rPr>
          <w:rFonts w:ascii="Times New Roman" w:hAnsi="Times New Roman" w:cs="Times New Roman"/>
          <w:color w:val="000000"/>
          <w:sz w:val="20"/>
          <w:szCs w:val="20"/>
          <w:lang w:val="en-US"/>
        </w:rPr>
        <w:t xml:space="preserve"> be </w:t>
      </w:r>
      <w:r w:rsidR="00593309" w:rsidRPr="008F23CC">
        <w:rPr>
          <w:rFonts w:ascii="Times New Roman" w:hAnsi="Times New Roman" w:cs="Times New Roman"/>
          <w:color w:val="000000"/>
          <w:sz w:val="20"/>
          <w:szCs w:val="20"/>
          <w:lang w:val="en-US"/>
        </w:rPr>
        <w:t>reduced</w:t>
      </w:r>
      <w:r w:rsidR="00CE11FE" w:rsidRPr="008F23CC">
        <w:rPr>
          <w:rFonts w:ascii="Times New Roman" w:hAnsi="Times New Roman" w:cs="Times New Roman"/>
          <w:color w:val="000000"/>
          <w:sz w:val="20"/>
          <w:szCs w:val="20"/>
          <w:lang w:val="en-US"/>
        </w:rPr>
        <w:t xml:space="preserve"> to </w:t>
      </w:r>
      <w:r w:rsidR="00DA5C68" w:rsidRPr="008F23CC">
        <w:rPr>
          <w:rFonts w:ascii="Times New Roman" w:hAnsi="Times New Roman" w:cs="Times New Roman"/>
          <w:color w:val="000000"/>
          <w:sz w:val="20"/>
          <w:szCs w:val="20"/>
          <w:lang w:val="en-US"/>
        </w:rPr>
        <w:t>75</w:t>
      </w:r>
      <w:r w:rsidR="00CE11FE" w:rsidRPr="008F23CC">
        <w:rPr>
          <w:rFonts w:ascii="Times New Roman" w:hAnsi="Times New Roman" w:cs="Times New Roman"/>
          <w:color w:val="000000"/>
          <w:sz w:val="20"/>
          <w:szCs w:val="20"/>
          <w:lang w:val="en-US"/>
        </w:rPr>
        <w:t xml:space="preserve"> </w:t>
      </w:r>
      <w:r w:rsidR="00DA5C68" w:rsidRPr="008F23CC">
        <w:rPr>
          <w:rFonts w:ascii="Times New Roman" w:hAnsi="Times New Roman" w:cs="Times New Roman"/>
          <w:color w:val="000000"/>
          <w:sz w:val="20"/>
          <w:szCs w:val="20"/>
          <w:lang w:val="en-US"/>
        </w:rPr>
        <w:t>€</w:t>
      </w:r>
      <w:r w:rsidR="00CE11FE" w:rsidRPr="008F23CC">
        <w:rPr>
          <w:rFonts w:ascii="Times New Roman" w:hAnsi="Times New Roman" w:cs="Times New Roman"/>
          <w:color w:val="000000"/>
          <w:sz w:val="20"/>
          <w:szCs w:val="20"/>
          <w:lang w:val="en-US"/>
        </w:rPr>
        <w:t>/kW</w:t>
      </w:r>
      <w:r w:rsidR="00593309" w:rsidRPr="008F23CC">
        <w:rPr>
          <w:rFonts w:ascii="Times New Roman" w:hAnsi="Times New Roman" w:cs="Times New Roman"/>
          <w:color w:val="000000"/>
          <w:sz w:val="20"/>
          <w:szCs w:val="20"/>
          <w:vertAlign w:val="subscript"/>
          <w:lang w:val="en-US"/>
        </w:rPr>
        <w:t>e</w:t>
      </w:r>
      <w:r w:rsidR="00CE11FE" w:rsidRPr="008F23CC">
        <w:rPr>
          <w:rFonts w:ascii="Times New Roman" w:hAnsi="Times New Roman" w:cs="Times New Roman"/>
          <w:color w:val="000000"/>
          <w:sz w:val="20"/>
          <w:szCs w:val="20"/>
          <w:lang w:val="en-US"/>
        </w:rPr>
        <w:t>, even with today’s technologies, materials and processes, for the aforementioned annual production rate</w:t>
      </w:r>
      <w:r w:rsidR="00DA5C68" w:rsidRPr="008F23CC">
        <w:rPr>
          <w:rFonts w:ascii="Times New Roman" w:hAnsi="Times New Roman" w:cs="Times New Roman"/>
          <w:color w:val="000000"/>
          <w:sz w:val="20"/>
          <w:szCs w:val="20"/>
          <w:lang w:val="en-US"/>
        </w:rPr>
        <w:t>s</w:t>
      </w:r>
      <w:r w:rsidR="00CE11FE"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aiming </w:t>
      </w:r>
      <w:r w:rsidR="00DA5C68" w:rsidRPr="008F23CC">
        <w:rPr>
          <w:rFonts w:ascii="Times New Roman" w:hAnsi="Times New Roman" w:cs="Times New Roman"/>
          <w:color w:val="000000"/>
          <w:sz w:val="20"/>
          <w:szCs w:val="20"/>
          <w:lang w:val="en-US"/>
        </w:rPr>
        <w:t>to</w:t>
      </w:r>
      <w:r w:rsidRPr="008F23CC">
        <w:rPr>
          <w:rFonts w:ascii="Times New Roman" w:hAnsi="Times New Roman" w:cs="Times New Roman"/>
          <w:color w:val="000000"/>
          <w:sz w:val="20"/>
          <w:szCs w:val="20"/>
          <w:lang w:val="en-US"/>
        </w:rPr>
        <w:t xml:space="preserve"> </w:t>
      </w:r>
      <w:r w:rsidR="00DA5C68" w:rsidRPr="008F23CC">
        <w:rPr>
          <w:rFonts w:ascii="Times New Roman" w:hAnsi="Times New Roman" w:cs="Times New Roman"/>
          <w:color w:val="000000"/>
          <w:sz w:val="20"/>
          <w:szCs w:val="20"/>
          <w:lang w:val="en-US"/>
        </w:rPr>
        <w:t>2</w:t>
      </w:r>
      <w:r w:rsidRPr="008F23CC">
        <w:rPr>
          <w:rFonts w:ascii="Times New Roman" w:hAnsi="Times New Roman" w:cs="Times New Roman"/>
          <w:color w:val="000000"/>
          <w:sz w:val="20"/>
          <w:szCs w:val="20"/>
          <w:lang w:val="en-US"/>
        </w:rPr>
        <w:t>0</w:t>
      </w:r>
      <w:r w:rsidR="00BA4B8B" w:rsidRPr="008F23CC">
        <w:rPr>
          <w:rFonts w:ascii="Times New Roman" w:hAnsi="Times New Roman" w:cs="Times New Roman"/>
          <w:color w:val="000000"/>
          <w:sz w:val="20"/>
          <w:szCs w:val="20"/>
          <w:lang w:val="en-US"/>
        </w:rPr>
        <w:t xml:space="preserve"> </w:t>
      </w:r>
      <w:r w:rsidR="00DA5C68"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/kW</w:t>
      </w:r>
      <w:r w:rsidR="00593309"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by 2010 [</w:t>
      </w:r>
      <w:r w:rsidR="00E51970">
        <w:rPr>
          <w:rFonts w:ascii="Times New Roman" w:hAnsi="Times New Roman" w:cs="Times New Roman"/>
          <w:color w:val="000000"/>
          <w:sz w:val="20"/>
          <w:szCs w:val="20"/>
          <w:lang w:val="en-US"/>
        </w:rPr>
        <w:t>2,</w:t>
      </w:r>
      <w:r w:rsidR="001710B0">
        <w:rPr>
          <w:rFonts w:ascii="Times New Roman" w:hAnsi="Times New Roman" w:cs="Times New Roman"/>
          <w:color w:val="000000"/>
          <w:sz w:val="20"/>
          <w:szCs w:val="20"/>
          <w:lang w:val="en-US"/>
        </w:rPr>
        <w:t>50</w:t>
      </w:r>
      <w:r w:rsidRPr="008F23CC">
        <w:rPr>
          <w:rFonts w:ascii="Times New Roman" w:hAnsi="Times New Roman" w:cs="Times New Roman"/>
          <w:color w:val="000000"/>
          <w:sz w:val="20"/>
          <w:szCs w:val="20"/>
          <w:lang w:val="en-US"/>
        </w:rPr>
        <w:t xml:space="preserve">]. </w:t>
      </w:r>
    </w:p>
    <w:p w:rsidR="00633E2D" w:rsidRPr="008F23CC" w:rsidRDefault="00633E2D" w:rsidP="003066A0">
      <w:pPr>
        <w:widowControl w:val="0"/>
        <w:autoSpaceDE w:val="0"/>
        <w:autoSpaceDN w:val="0"/>
        <w:adjustRightInd w:val="0"/>
        <w:spacing w:after="0" w:line="240" w:lineRule="auto"/>
        <w:rPr>
          <w:rFonts w:ascii="Times New Roman" w:hAnsi="Times New Roman" w:cs="Times New Roman"/>
          <w:b/>
          <w:bCs/>
          <w:color w:val="000000"/>
          <w:sz w:val="20"/>
          <w:szCs w:val="20"/>
          <w:lang w:val="en-US"/>
        </w:rPr>
      </w:pPr>
    </w:p>
    <w:p w:rsidR="00A629E7" w:rsidRPr="008F23CC" w:rsidRDefault="00A629E7" w:rsidP="003066A0">
      <w:pPr>
        <w:widowControl w:val="0"/>
        <w:autoSpaceDE w:val="0"/>
        <w:autoSpaceDN w:val="0"/>
        <w:adjustRightInd w:val="0"/>
        <w:spacing w:after="0" w:line="240" w:lineRule="auto"/>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Table </w:t>
      </w:r>
      <w:r w:rsidR="005A0509" w:rsidRPr="008F23CC">
        <w:rPr>
          <w:rFonts w:ascii="Times New Roman" w:hAnsi="Times New Roman" w:cs="Times New Roman"/>
          <w:b/>
          <w:sz w:val="20"/>
          <w:szCs w:val="20"/>
          <w:lang w:val="en-US"/>
        </w:rPr>
        <w:t>5</w:t>
      </w:r>
      <w:r w:rsidRPr="008F23CC">
        <w:rPr>
          <w:rFonts w:ascii="Times New Roman" w:hAnsi="Times New Roman" w:cs="Times New Roman"/>
          <w:sz w:val="20"/>
          <w:szCs w:val="20"/>
          <w:lang w:val="en-US"/>
        </w:rPr>
        <w:t xml:space="preserve"> Estimates of future PEM stack costs </w:t>
      </w:r>
      <w:r w:rsidR="00B508D5" w:rsidRPr="008F23CC">
        <w:rPr>
          <w:rFonts w:ascii="Times New Roman" w:hAnsi="Times New Roman" w:cs="Times New Roman"/>
          <w:sz w:val="20"/>
          <w:szCs w:val="20"/>
          <w:lang w:val="en-US"/>
        </w:rPr>
        <w:t>at a cumulative production of 250,000 MW</w:t>
      </w:r>
      <w:r w:rsidR="00B508D5" w:rsidRPr="008F23CC">
        <w:rPr>
          <w:rFonts w:ascii="Times New Roman" w:hAnsi="Times New Roman" w:cs="Times New Roman"/>
          <w:sz w:val="20"/>
          <w:szCs w:val="20"/>
          <w:vertAlign w:val="subscript"/>
          <w:lang w:val="en-US"/>
        </w:rPr>
        <w:t>e</w:t>
      </w:r>
      <w:r w:rsidR="00B508D5" w:rsidRPr="008F23CC">
        <w:rPr>
          <w:rFonts w:ascii="Times New Roman" w:hAnsi="Times New Roman" w:cs="Times New Roman"/>
          <w:sz w:val="20"/>
          <w:szCs w:val="20"/>
          <w:lang w:val="en-US"/>
        </w:rPr>
        <w:t xml:space="preserve">/a </w:t>
      </w:r>
      <w:r w:rsidRPr="008F23CC">
        <w:rPr>
          <w:rFonts w:ascii="Times New Roman" w:hAnsi="Times New Roman" w:cs="Times New Roman"/>
          <w:sz w:val="20"/>
          <w:szCs w:val="20"/>
          <w:lang w:val="en-US"/>
        </w:rPr>
        <w:t>[</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3</w:t>
      </w:r>
      <w:r w:rsidRPr="008F23CC">
        <w:rPr>
          <w:rFonts w:ascii="Times New Roman" w:hAnsi="Times New Roman" w:cs="Times New Roman"/>
          <w:sz w:val="20"/>
          <w:szCs w:val="20"/>
          <w:lang w:val="en-US"/>
        </w:rPr>
        <w:t>]</w:t>
      </w:r>
    </w:p>
    <w:tbl>
      <w:tblPr>
        <w:tblW w:w="0" w:type="auto"/>
        <w:tblInd w:w="108" w:type="dxa"/>
        <w:tblBorders>
          <w:top w:val="single" w:sz="4" w:space="0" w:color="auto"/>
          <w:bottom w:val="single" w:sz="4" w:space="0" w:color="auto"/>
        </w:tblBorders>
        <w:shd w:val="clear" w:color="auto" w:fill="FFFFFF"/>
        <w:tblLook w:val="04A0"/>
      </w:tblPr>
      <w:tblGrid>
        <w:gridCol w:w="2268"/>
        <w:gridCol w:w="1985"/>
        <w:gridCol w:w="1984"/>
        <w:gridCol w:w="1705"/>
      </w:tblGrid>
      <w:tr w:rsidR="00A629E7" w:rsidRPr="00272FC0" w:rsidTr="00E51970">
        <w:tc>
          <w:tcPr>
            <w:tcW w:w="2268" w:type="dxa"/>
            <w:tcBorders>
              <w:bottom w:val="single" w:sz="4" w:space="0" w:color="auto"/>
            </w:tcBorders>
            <w:shd w:val="clear" w:color="auto" w:fill="FFFFFF"/>
          </w:tcPr>
          <w:p w:rsidR="00A629E7" w:rsidRPr="00272FC0" w:rsidRDefault="00A629E7"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p>
        </w:tc>
        <w:tc>
          <w:tcPr>
            <w:tcW w:w="1985" w:type="dxa"/>
            <w:tcBorders>
              <w:bottom w:val="single" w:sz="4" w:space="0" w:color="auto"/>
            </w:tcBorders>
            <w:shd w:val="clear" w:color="auto" w:fill="FFFFFF"/>
          </w:tcPr>
          <w:p w:rsidR="00A629E7" w:rsidRPr="00272FC0" w:rsidRDefault="00910ACE" w:rsidP="003066A0">
            <w:pPr>
              <w:widowControl w:val="0"/>
              <w:tabs>
                <w:tab w:val="left" w:pos="914"/>
              </w:tabs>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w:t>
            </w:r>
            <w:r w:rsidR="00A629E7" w:rsidRPr="00272FC0">
              <w:rPr>
                <w:rFonts w:ascii="Times New Roman" w:hAnsi="Times New Roman" w:cs="Times New Roman"/>
                <w:color w:val="000000"/>
                <w:sz w:val="18"/>
                <w:szCs w:val="18"/>
                <w:lang w:val="en-US"/>
              </w:rPr>
              <w:t>/m</w:t>
            </w:r>
            <w:r w:rsidR="00A629E7" w:rsidRPr="00272FC0">
              <w:rPr>
                <w:rFonts w:ascii="Times New Roman" w:hAnsi="Times New Roman" w:cs="Times New Roman"/>
                <w:color w:val="000000"/>
                <w:sz w:val="18"/>
                <w:szCs w:val="18"/>
                <w:vertAlign w:val="superscript"/>
                <w:lang w:val="en-US"/>
              </w:rPr>
              <w:t>2</w:t>
            </w:r>
          </w:p>
        </w:tc>
        <w:tc>
          <w:tcPr>
            <w:tcW w:w="1984" w:type="dxa"/>
            <w:tcBorders>
              <w:bottom w:val="single" w:sz="4" w:space="0" w:color="auto"/>
            </w:tcBorders>
            <w:shd w:val="clear" w:color="auto" w:fill="FFFFFF"/>
          </w:tcPr>
          <w:p w:rsidR="00A629E7" w:rsidRPr="00272FC0" w:rsidRDefault="00910ACE" w:rsidP="003066A0">
            <w:pPr>
              <w:widowControl w:val="0"/>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w:t>
            </w:r>
            <w:r w:rsidR="00A629E7" w:rsidRPr="00272FC0">
              <w:rPr>
                <w:rFonts w:ascii="Times New Roman" w:hAnsi="Times New Roman" w:cs="Times New Roman"/>
                <w:color w:val="000000"/>
                <w:sz w:val="18"/>
                <w:szCs w:val="18"/>
                <w:lang w:val="en-US"/>
              </w:rPr>
              <w:t>/kW</w:t>
            </w:r>
          </w:p>
        </w:tc>
        <w:tc>
          <w:tcPr>
            <w:tcW w:w="1705" w:type="dxa"/>
            <w:tcBorders>
              <w:bottom w:val="single" w:sz="4" w:space="0" w:color="auto"/>
            </w:tcBorders>
            <w:shd w:val="clear" w:color="auto" w:fill="FFFFFF"/>
          </w:tcPr>
          <w:p w:rsidR="00A629E7" w:rsidRPr="00272FC0" w:rsidRDefault="00A629E7" w:rsidP="003066A0">
            <w:pPr>
              <w:widowControl w:val="0"/>
              <w:autoSpaceDE w:val="0"/>
              <w:autoSpaceDN w:val="0"/>
              <w:adjustRightInd w:val="0"/>
              <w:spacing w:after="0" w:line="240" w:lineRule="auto"/>
              <w:jc w:val="center"/>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share, %</w:t>
            </w:r>
          </w:p>
        </w:tc>
      </w:tr>
      <w:tr w:rsidR="00910ACE" w:rsidRPr="00272FC0" w:rsidTr="00E51970">
        <w:tc>
          <w:tcPr>
            <w:tcW w:w="2268" w:type="dxa"/>
            <w:tcBorders>
              <w:top w:val="single" w:sz="4" w:space="0" w:color="auto"/>
              <w:bottom w:val="nil"/>
            </w:tcBorders>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membrane</w:t>
            </w:r>
          </w:p>
        </w:tc>
        <w:tc>
          <w:tcPr>
            <w:tcW w:w="1985" w:type="dxa"/>
            <w:tcBorders>
              <w:top w:val="single" w:sz="4" w:space="0" w:color="auto"/>
              <w:bottom w:val="nil"/>
            </w:tcBorders>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36</w:t>
            </w:r>
          </w:p>
        </w:tc>
        <w:tc>
          <w:tcPr>
            <w:tcW w:w="1984" w:type="dxa"/>
            <w:tcBorders>
              <w:top w:val="single" w:sz="4" w:space="0" w:color="auto"/>
              <w:bottom w:val="nil"/>
            </w:tcBorders>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9 – 12</w:t>
            </w:r>
            <w:r w:rsidRPr="00272FC0">
              <w:rPr>
                <w:rFonts w:ascii="Times New Roman" w:hAnsi="Times New Roman" w:cs="Times New Roman"/>
                <w:color w:val="000000"/>
                <w:sz w:val="18"/>
                <w:szCs w:val="18"/>
                <w:lang w:val="en-US"/>
              </w:rPr>
              <w:t xml:space="preserve"> </w:t>
            </w:r>
          </w:p>
        </w:tc>
        <w:tc>
          <w:tcPr>
            <w:tcW w:w="1705" w:type="dxa"/>
            <w:tcBorders>
              <w:top w:val="single" w:sz="4" w:space="0" w:color="auto"/>
              <w:bottom w:val="nil"/>
            </w:tcBorders>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16 – 25 </w:t>
            </w:r>
          </w:p>
        </w:tc>
      </w:tr>
      <w:tr w:rsidR="00910ACE" w:rsidRPr="00272FC0" w:rsidTr="00E51970">
        <w:tc>
          <w:tcPr>
            <w:tcW w:w="2268" w:type="dxa"/>
            <w:tcBorders>
              <w:top w:val="nil"/>
            </w:tcBorders>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electrodes</w:t>
            </w:r>
          </w:p>
        </w:tc>
        <w:tc>
          <w:tcPr>
            <w:tcW w:w="1985" w:type="dxa"/>
            <w:tcBorders>
              <w:top w:val="nil"/>
            </w:tcBorders>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69 – 107</w:t>
            </w:r>
            <w:r w:rsidRPr="00272FC0">
              <w:rPr>
                <w:rFonts w:ascii="Times New Roman" w:hAnsi="Times New Roman" w:cs="Times New Roman"/>
                <w:color w:val="000000"/>
                <w:sz w:val="18"/>
                <w:szCs w:val="18"/>
                <w:lang w:val="en-US"/>
              </w:rPr>
              <w:t xml:space="preserve"> </w:t>
            </w:r>
          </w:p>
        </w:tc>
        <w:tc>
          <w:tcPr>
            <w:tcW w:w="1984" w:type="dxa"/>
            <w:tcBorders>
              <w:top w:val="nil"/>
            </w:tcBorders>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17 – 36</w:t>
            </w:r>
            <w:r w:rsidRPr="00272FC0">
              <w:rPr>
                <w:rFonts w:ascii="Times New Roman" w:hAnsi="Times New Roman" w:cs="Times New Roman"/>
                <w:color w:val="000000"/>
                <w:sz w:val="18"/>
                <w:szCs w:val="18"/>
                <w:lang w:val="en-US"/>
              </w:rPr>
              <w:t xml:space="preserve"> </w:t>
            </w:r>
          </w:p>
        </w:tc>
        <w:tc>
          <w:tcPr>
            <w:tcW w:w="1705" w:type="dxa"/>
            <w:tcBorders>
              <w:top w:val="nil"/>
            </w:tcBorders>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48 – 49 </w:t>
            </w:r>
          </w:p>
        </w:tc>
      </w:tr>
      <w:tr w:rsidR="00910ACE" w:rsidRPr="00272FC0" w:rsidTr="00E51970">
        <w:tc>
          <w:tcPr>
            <w:tcW w:w="2268" w:type="dxa"/>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bipolar plates</w:t>
            </w:r>
          </w:p>
        </w:tc>
        <w:tc>
          <w:tcPr>
            <w:tcW w:w="1985" w:type="dxa"/>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25 – 65</w:t>
            </w:r>
            <w:r w:rsidRPr="00272FC0">
              <w:rPr>
                <w:rFonts w:ascii="Times New Roman" w:hAnsi="Times New Roman" w:cs="Times New Roman"/>
                <w:color w:val="000000"/>
                <w:sz w:val="18"/>
                <w:szCs w:val="18"/>
                <w:lang w:val="en-US"/>
              </w:rPr>
              <w:t xml:space="preserve"> </w:t>
            </w:r>
          </w:p>
        </w:tc>
        <w:tc>
          <w:tcPr>
            <w:tcW w:w="1984" w:type="dxa"/>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6 – 21</w:t>
            </w:r>
            <w:r w:rsidRPr="00272FC0">
              <w:rPr>
                <w:rFonts w:ascii="Times New Roman" w:hAnsi="Times New Roman" w:cs="Times New Roman"/>
                <w:color w:val="000000"/>
                <w:sz w:val="18"/>
                <w:szCs w:val="18"/>
                <w:lang w:val="en-US"/>
              </w:rPr>
              <w:t xml:space="preserve"> </w:t>
            </w:r>
          </w:p>
        </w:tc>
        <w:tc>
          <w:tcPr>
            <w:tcW w:w="1705" w:type="dxa"/>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17 – 29 </w:t>
            </w:r>
          </w:p>
        </w:tc>
      </w:tr>
      <w:tr w:rsidR="00910ACE" w:rsidRPr="00272FC0" w:rsidTr="00E51970">
        <w:tc>
          <w:tcPr>
            <w:tcW w:w="2268" w:type="dxa"/>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platinum (catalyst)</w:t>
            </w:r>
          </w:p>
        </w:tc>
        <w:tc>
          <w:tcPr>
            <w:tcW w:w="1985" w:type="dxa"/>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c>
          <w:tcPr>
            <w:tcW w:w="1984" w:type="dxa"/>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rPr>
              <w:t>1</w:t>
            </w:r>
            <w:r w:rsidRPr="00272FC0">
              <w:rPr>
                <w:rFonts w:ascii="Times New Roman" w:hAnsi="Times New Roman" w:cs="Times New Roman"/>
                <w:color w:val="000000"/>
                <w:sz w:val="18"/>
                <w:szCs w:val="18"/>
                <w:lang w:val="en-US"/>
              </w:rPr>
              <w:t xml:space="preserve"> </w:t>
            </w:r>
            <w:r w:rsidRPr="00272FC0">
              <w:rPr>
                <w:rFonts w:ascii="Times New Roman" w:hAnsi="Times New Roman" w:cs="Times New Roman"/>
                <w:color w:val="000000"/>
                <w:sz w:val="18"/>
                <w:szCs w:val="18"/>
              </w:rPr>
              <w:t>– 2</w:t>
            </w:r>
            <w:r w:rsidRPr="00272FC0">
              <w:rPr>
                <w:rFonts w:ascii="Times New Roman" w:hAnsi="Times New Roman" w:cs="Times New Roman"/>
                <w:color w:val="000000"/>
                <w:sz w:val="18"/>
                <w:szCs w:val="18"/>
                <w:lang w:val="en-US"/>
              </w:rPr>
              <w:t xml:space="preserve">  </w:t>
            </w:r>
          </w:p>
        </w:tc>
        <w:tc>
          <w:tcPr>
            <w:tcW w:w="1705" w:type="dxa"/>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3 – 4 </w:t>
            </w:r>
          </w:p>
        </w:tc>
      </w:tr>
      <w:tr w:rsidR="00910ACE" w:rsidRPr="00272FC0" w:rsidTr="00E51970">
        <w:tc>
          <w:tcPr>
            <w:tcW w:w="2268" w:type="dxa"/>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peripherals</w:t>
            </w:r>
          </w:p>
        </w:tc>
        <w:tc>
          <w:tcPr>
            <w:tcW w:w="1985" w:type="dxa"/>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w:t>
            </w:r>
          </w:p>
        </w:tc>
        <w:tc>
          <w:tcPr>
            <w:tcW w:w="1984" w:type="dxa"/>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c>
          <w:tcPr>
            <w:tcW w:w="1705" w:type="dxa"/>
            <w:shd w:val="clear" w:color="auto" w:fill="FFFFFF"/>
          </w:tcPr>
          <w:p w:rsidR="00910ACE" w:rsidRPr="00272FC0" w:rsidRDefault="00910ACE" w:rsidP="003066A0">
            <w:pPr>
              <w:pStyle w:val="a4"/>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1 – 2 </w:t>
            </w:r>
          </w:p>
        </w:tc>
      </w:tr>
      <w:tr w:rsidR="00910ACE" w:rsidRPr="00272FC0" w:rsidTr="00E51970">
        <w:tc>
          <w:tcPr>
            <w:tcW w:w="2268" w:type="dxa"/>
            <w:tcBorders>
              <w:bottom w:val="single" w:sz="4" w:space="0" w:color="auto"/>
            </w:tcBorders>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assembly</w:t>
            </w:r>
          </w:p>
        </w:tc>
        <w:tc>
          <w:tcPr>
            <w:tcW w:w="1985" w:type="dxa"/>
            <w:tcBorders>
              <w:bottom w:val="single" w:sz="4" w:space="0" w:color="auto"/>
            </w:tcBorders>
            <w:shd w:val="clear" w:color="auto" w:fill="FFFFFF"/>
            <w:vAlign w:val="bottom"/>
          </w:tcPr>
          <w:p w:rsidR="00910ACE" w:rsidRPr="00272FC0" w:rsidRDefault="00910ACE" w:rsidP="00910ACE">
            <w:pPr>
              <w:spacing w:after="0" w:line="240" w:lineRule="auto"/>
              <w:ind w:right="462"/>
              <w:jc w:val="right"/>
              <w:rPr>
                <w:rFonts w:ascii="Times New Roman" w:hAnsi="Times New Roman" w:cs="Times New Roman"/>
                <w:color w:val="000000"/>
                <w:sz w:val="18"/>
                <w:szCs w:val="18"/>
              </w:rPr>
            </w:pPr>
          </w:p>
        </w:tc>
        <w:tc>
          <w:tcPr>
            <w:tcW w:w="1984" w:type="dxa"/>
            <w:tcBorders>
              <w:bottom w:val="single" w:sz="4" w:space="0" w:color="auto"/>
            </w:tcBorders>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c>
          <w:tcPr>
            <w:tcW w:w="1705" w:type="dxa"/>
            <w:tcBorders>
              <w:bottom w:val="single" w:sz="4" w:space="0" w:color="auto"/>
            </w:tcBorders>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 xml:space="preserve">2 – 4 </w:t>
            </w:r>
          </w:p>
        </w:tc>
      </w:tr>
      <w:tr w:rsidR="00910ACE" w:rsidRPr="00272FC0" w:rsidTr="00E51970">
        <w:tc>
          <w:tcPr>
            <w:tcW w:w="2268" w:type="dxa"/>
            <w:tcBorders>
              <w:top w:val="single" w:sz="4" w:space="0" w:color="auto"/>
              <w:bottom w:val="single" w:sz="4" w:space="0" w:color="auto"/>
            </w:tcBorders>
            <w:shd w:val="clear" w:color="auto" w:fill="FFFFFF"/>
          </w:tcPr>
          <w:p w:rsidR="00910ACE" w:rsidRPr="00272FC0" w:rsidRDefault="00910ACE" w:rsidP="003066A0">
            <w:pPr>
              <w:widowControl w:val="0"/>
              <w:autoSpaceDE w:val="0"/>
              <w:autoSpaceDN w:val="0"/>
              <w:adjustRightInd w:val="0"/>
              <w:spacing w:after="0" w:line="240" w:lineRule="auto"/>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total</w:t>
            </w:r>
          </w:p>
        </w:tc>
        <w:tc>
          <w:tcPr>
            <w:tcW w:w="1985" w:type="dxa"/>
            <w:tcBorders>
              <w:top w:val="single" w:sz="4" w:space="0" w:color="auto"/>
              <w:bottom w:val="single" w:sz="4" w:space="0" w:color="auto"/>
            </w:tcBorders>
            <w:shd w:val="clear" w:color="auto" w:fill="FFFFFF"/>
            <w:vAlign w:val="bottom"/>
          </w:tcPr>
          <w:p w:rsidR="00910ACE" w:rsidRPr="00272FC0" w:rsidRDefault="00910ACE" w:rsidP="00910ACE">
            <w:pPr>
              <w:spacing w:after="0" w:line="240" w:lineRule="auto"/>
              <w:rPr>
                <w:rFonts w:ascii="Times New Roman" w:hAnsi="Times New Roman" w:cs="Times New Roman"/>
                <w:color w:val="000000"/>
                <w:sz w:val="18"/>
                <w:szCs w:val="18"/>
              </w:rPr>
            </w:pPr>
          </w:p>
        </w:tc>
        <w:tc>
          <w:tcPr>
            <w:tcW w:w="1984" w:type="dxa"/>
            <w:tcBorders>
              <w:top w:val="single" w:sz="4" w:space="0" w:color="auto"/>
              <w:bottom w:val="single" w:sz="4" w:space="0" w:color="auto"/>
            </w:tcBorders>
            <w:shd w:val="clear" w:color="auto" w:fill="FFFFFF"/>
            <w:vAlign w:val="bottom"/>
          </w:tcPr>
          <w:p w:rsidR="00910ACE" w:rsidRPr="00272FC0" w:rsidRDefault="00910ACE" w:rsidP="00910ACE">
            <w:pPr>
              <w:spacing w:after="0" w:line="240" w:lineRule="auto"/>
              <w:ind w:right="465"/>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36 – 74</w:t>
            </w:r>
            <w:r w:rsidRPr="00272FC0">
              <w:rPr>
                <w:rFonts w:ascii="Times New Roman" w:hAnsi="Times New Roman" w:cs="Times New Roman"/>
                <w:color w:val="000000"/>
                <w:sz w:val="18"/>
                <w:szCs w:val="18"/>
                <w:lang w:val="en-US"/>
              </w:rPr>
              <w:t xml:space="preserve"> </w:t>
            </w:r>
            <w:r w:rsidRPr="00272FC0">
              <w:rPr>
                <w:rFonts w:ascii="Times New Roman" w:hAnsi="Times New Roman" w:cs="Times New Roman"/>
                <w:color w:val="000000"/>
                <w:sz w:val="18"/>
                <w:szCs w:val="18"/>
              </w:rPr>
              <w:t xml:space="preserve"> </w:t>
            </w:r>
          </w:p>
        </w:tc>
        <w:tc>
          <w:tcPr>
            <w:tcW w:w="1705" w:type="dxa"/>
            <w:tcBorders>
              <w:top w:val="single" w:sz="4" w:space="0" w:color="auto"/>
              <w:bottom w:val="single" w:sz="4" w:space="0" w:color="auto"/>
            </w:tcBorders>
            <w:shd w:val="clear" w:color="auto" w:fill="FFFFFF"/>
          </w:tcPr>
          <w:p w:rsidR="00910ACE" w:rsidRPr="00272FC0" w:rsidRDefault="00910ACE" w:rsidP="003066A0">
            <w:pPr>
              <w:widowControl w:val="0"/>
              <w:autoSpaceDE w:val="0"/>
              <w:autoSpaceDN w:val="0"/>
              <w:adjustRightInd w:val="0"/>
              <w:spacing w:after="0" w:line="240" w:lineRule="auto"/>
              <w:ind w:left="-958" w:right="465"/>
              <w:jc w:val="right"/>
              <w:rPr>
                <w:rFonts w:ascii="Times New Roman" w:hAnsi="Times New Roman" w:cs="Times New Roman"/>
                <w:color w:val="000000"/>
                <w:sz w:val="18"/>
                <w:szCs w:val="18"/>
                <w:lang w:val="en-US"/>
              </w:rPr>
            </w:pPr>
            <w:r w:rsidRPr="00272FC0">
              <w:rPr>
                <w:rFonts w:ascii="Times New Roman" w:hAnsi="Times New Roman" w:cs="Times New Roman"/>
                <w:color w:val="000000"/>
                <w:sz w:val="18"/>
                <w:szCs w:val="18"/>
                <w:lang w:val="en-US"/>
              </w:rPr>
              <w:t>100</w:t>
            </w:r>
          </w:p>
        </w:tc>
      </w:tr>
    </w:tbl>
    <w:p w:rsidR="0024029C" w:rsidRPr="008F23CC" w:rsidRDefault="0024029C"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310F97" w:rsidRPr="008F23CC" w:rsidRDefault="00310F97" w:rsidP="00310F97">
      <w:pPr>
        <w:widowControl w:val="0"/>
        <w:autoSpaceDE w:val="0"/>
        <w:autoSpaceDN w:val="0"/>
        <w:adjustRightInd w:val="0"/>
        <w:spacing w:after="0" w:line="240" w:lineRule="auto"/>
        <w:ind w:firstLine="360"/>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key factors to reduce the cost of PEM fuel cells from around 1,300 $/kW to less than 100 €/kW are [</w:t>
      </w:r>
      <w:r>
        <w:rPr>
          <w:rFonts w:ascii="Times New Roman" w:hAnsi="Times New Roman" w:cs="Times New Roman"/>
          <w:sz w:val="20"/>
          <w:szCs w:val="20"/>
          <w:lang w:val="en-US"/>
        </w:rPr>
        <w:t>2,3</w:t>
      </w:r>
      <w:r w:rsidRPr="008F23CC">
        <w:rPr>
          <w:rFonts w:ascii="Times New Roman" w:hAnsi="Times New Roman" w:cs="Times New Roman"/>
          <w:sz w:val="20"/>
          <w:szCs w:val="20"/>
          <w:lang w:val="en-US"/>
        </w:rPr>
        <w:t>]:</w:t>
      </w:r>
    </w:p>
    <w:p w:rsidR="00310F97" w:rsidRPr="008F23CC" w:rsidRDefault="00310F97" w:rsidP="00310F97">
      <w:pPr>
        <w:widowControl w:val="0"/>
        <w:autoSpaceDE w:val="0"/>
        <w:autoSpaceDN w:val="0"/>
        <w:adjustRightInd w:val="0"/>
        <w:spacing w:after="0" w:line="240" w:lineRule="auto"/>
        <w:jc w:val="both"/>
        <w:rPr>
          <w:rFonts w:ascii="Times New Roman" w:hAnsi="Times New Roman" w:cs="Times New Roman"/>
          <w:sz w:val="20"/>
          <w:szCs w:val="20"/>
          <w:lang w:val="en-US"/>
        </w:rPr>
      </w:pPr>
    </w:p>
    <w:p w:rsidR="00310F97" w:rsidRPr="008F23CC" w:rsidRDefault="00310F97" w:rsidP="00310F97">
      <w:pPr>
        <w:pStyle w:val="a4"/>
        <w:widowControl w:val="0"/>
        <w:numPr>
          <w:ilvl w:val="0"/>
          <w:numId w:val="10"/>
        </w:numPr>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mass-production of membranes, electrodes and bipolar plates and the possible use of new materials</w:t>
      </w:r>
    </w:p>
    <w:p w:rsidR="00310F97" w:rsidRPr="008F23CC" w:rsidRDefault="00310F97" w:rsidP="00310F97">
      <w:pPr>
        <w:pStyle w:val="a4"/>
        <w:widowControl w:val="0"/>
        <w:numPr>
          <w:ilvl w:val="0"/>
          <w:numId w:val="10"/>
        </w:numPr>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production increase to 100,000 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per year</w:t>
      </w:r>
    </w:p>
    <w:p w:rsidR="00310F97" w:rsidRPr="008F23CC" w:rsidRDefault="00310F97" w:rsidP="00310F97">
      <w:pPr>
        <w:pStyle w:val="a4"/>
        <w:widowControl w:val="0"/>
        <w:numPr>
          <w:ilvl w:val="0"/>
          <w:numId w:val="6"/>
        </w:numPr>
        <w:autoSpaceDE w:val="0"/>
        <w:autoSpaceDN w:val="0"/>
        <w:adjustRightInd w:val="0"/>
        <w:spacing w:after="0" w:line="240" w:lineRule="auto"/>
        <w:ind w:right="560"/>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increase in power density from 2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to 3 or even 5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and</w:t>
      </w:r>
    </w:p>
    <w:p w:rsidR="00310F97" w:rsidRPr="008F23CC" w:rsidRDefault="00310F97" w:rsidP="00310F97">
      <w:pPr>
        <w:pStyle w:val="a4"/>
        <w:widowControl w:val="0"/>
        <w:numPr>
          <w:ilvl w:val="0"/>
          <w:numId w:val="10"/>
        </w:num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achievement of</w:t>
      </w:r>
      <w:r w:rsidRPr="008F23CC">
        <w:rPr>
          <w:rFonts w:ascii="Times New Roman" w:hAnsi="Times New Roman" w:cs="Times New Roman"/>
          <w:sz w:val="20"/>
          <w:szCs w:val="20"/>
          <w:lang w:val="en-US"/>
        </w:rPr>
        <w:t xml:space="preserve"> higher stack lifetimes</w:t>
      </w:r>
    </w:p>
    <w:p w:rsidR="00310F97" w:rsidRPr="008F23CC" w:rsidRDefault="00310F97" w:rsidP="00310F97">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p>
    <w:p w:rsidR="00310F97" w:rsidRPr="008F23CC" w:rsidRDefault="00310F97" w:rsidP="00310F97">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 xml:space="preserve">Current PEM fuel cells use nafion membranes, of 50 to 175 </w:t>
      </w:r>
      <w:r w:rsidRPr="008F23CC">
        <w:rPr>
          <w:rFonts w:ascii="Times New Roman" w:hAnsi="Times New Roman" w:cs="Times New Roman"/>
          <w:color w:val="000000"/>
          <w:sz w:val="20"/>
          <w:szCs w:val="20"/>
        </w:rPr>
        <w:t>μ</w:t>
      </w:r>
      <w:r w:rsidRPr="008F23CC">
        <w:rPr>
          <w:rFonts w:ascii="Times New Roman" w:hAnsi="Times New Roman" w:cs="Times New Roman"/>
          <w:color w:val="000000"/>
          <w:sz w:val="20"/>
          <w:szCs w:val="20"/>
          <w:lang w:val="en-US"/>
        </w:rPr>
        <w:t>m typical thickness, with an estimated  cost of up to 450 €/m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which corresponds to 110 – 250 €/kW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Membranes are quite possible to undergo substantial technical and economic breakthroughs, within the decade (e.g. the use of alternative materials like the organically modified silicates), which may result a 10 – 20 fold cost reduction </w:t>
      </w:r>
      <w:r>
        <w:rPr>
          <w:rFonts w:ascii="Times New Roman" w:hAnsi="Times New Roman" w:cs="Times New Roman"/>
          <w:color w:val="000000"/>
          <w:sz w:val="20"/>
          <w:szCs w:val="20"/>
          <w:lang w:val="en-US"/>
        </w:rPr>
        <w:t>[2]</w:t>
      </w:r>
      <w:r w:rsidRPr="008F23CC">
        <w:rPr>
          <w:rFonts w:ascii="Times New Roman" w:hAnsi="Times New Roman" w:cs="Times New Roman"/>
          <w:color w:val="000000"/>
          <w:sz w:val="20"/>
          <w:szCs w:val="20"/>
          <w:lang w:val="en-US"/>
        </w:rPr>
        <w:t xml:space="preserve">. </w:t>
      </w:r>
    </w:p>
    <w:p w:rsidR="005A0509" w:rsidRPr="008F23CC" w:rsidRDefault="005A0509" w:rsidP="008B7354">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The cost of electrodes also depends on production technolog</w:t>
      </w:r>
      <w:r w:rsidR="00310F97">
        <w:rPr>
          <w:rFonts w:ascii="Times New Roman" w:hAnsi="Times New Roman" w:cs="Times New Roman"/>
          <w:color w:val="000000"/>
          <w:sz w:val="20"/>
          <w:szCs w:val="20"/>
          <w:lang w:val="en-US"/>
        </w:rPr>
        <w:t>ies</w:t>
      </w:r>
      <w:r w:rsidR="00B508D5" w:rsidRPr="008F23CC">
        <w:rPr>
          <w:rFonts w:ascii="Times New Roman" w:hAnsi="Times New Roman" w:cs="Times New Roman"/>
          <w:color w:val="000000"/>
          <w:sz w:val="20"/>
          <w:szCs w:val="20"/>
          <w:lang w:val="en-US"/>
        </w:rPr>
        <w:t>, materi</w:t>
      </w:r>
      <w:r w:rsidR="002647F4">
        <w:rPr>
          <w:rFonts w:ascii="Times New Roman" w:hAnsi="Times New Roman" w:cs="Times New Roman"/>
          <w:color w:val="000000"/>
          <w:sz w:val="20"/>
          <w:szCs w:val="20"/>
          <w:lang w:val="en-US"/>
        </w:rPr>
        <w:t>a</w:t>
      </w:r>
      <w:r w:rsidR="00B508D5" w:rsidRPr="008F23CC">
        <w:rPr>
          <w:rFonts w:ascii="Times New Roman" w:hAnsi="Times New Roman" w:cs="Times New Roman"/>
          <w:color w:val="000000"/>
          <w:sz w:val="20"/>
          <w:szCs w:val="20"/>
          <w:lang w:val="en-US"/>
        </w:rPr>
        <w:t>ls</w:t>
      </w:r>
      <w:r w:rsidRPr="008F23CC">
        <w:rPr>
          <w:rFonts w:ascii="Times New Roman" w:hAnsi="Times New Roman" w:cs="Times New Roman"/>
          <w:color w:val="000000"/>
          <w:sz w:val="20"/>
          <w:szCs w:val="20"/>
          <w:lang w:val="en-US"/>
        </w:rPr>
        <w:t xml:space="preserve"> and volume</w:t>
      </w:r>
      <w:r w:rsidR="00310F97">
        <w:rPr>
          <w:rFonts w:ascii="Times New Roman" w:hAnsi="Times New Roman" w:cs="Times New Roman"/>
          <w:color w:val="000000"/>
          <w:sz w:val="20"/>
          <w:szCs w:val="20"/>
          <w:lang w:val="en-US"/>
        </w:rPr>
        <w:t>s</w:t>
      </w:r>
      <w:r w:rsidRPr="008F23CC">
        <w:rPr>
          <w:rFonts w:ascii="Times New Roman" w:hAnsi="Times New Roman" w:cs="Times New Roman"/>
          <w:color w:val="000000"/>
          <w:sz w:val="20"/>
          <w:szCs w:val="20"/>
          <w:lang w:val="en-US"/>
        </w:rPr>
        <w:t>. Automated production at large scales may lower the corresponding costs to even 100 €/m</w:t>
      </w:r>
      <w:r w:rsidRPr="008F23CC">
        <w:rPr>
          <w:rFonts w:ascii="Times New Roman" w:hAnsi="Times New Roman" w:cs="Times New Roman"/>
          <w:color w:val="000000"/>
          <w:sz w:val="20"/>
          <w:szCs w:val="20"/>
          <w:vertAlign w:val="superscript"/>
          <w:lang w:val="en-US"/>
        </w:rPr>
        <w:t xml:space="preserve">2 </w:t>
      </w:r>
      <w:r w:rsidR="00E51970" w:rsidRPr="00E51970">
        <w:rPr>
          <w:rFonts w:ascii="Times New Roman" w:hAnsi="Times New Roman" w:cs="Times New Roman"/>
          <w:color w:val="000000"/>
          <w:sz w:val="20"/>
          <w:szCs w:val="20"/>
          <w:lang w:val="en-US"/>
        </w:rPr>
        <w:t>[2]</w:t>
      </w:r>
      <w:r w:rsidRPr="008F23CC">
        <w:rPr>
          <w:rFonts w:ascii="Times New Roman" w:hAnsi="Times New Roman" w:cs="Times New Roman"/>
          <w:color w:val="000000"/>
          <w:sz w:val="20"/>
          <w:szCs w:val="20"/>
          <w:lang w:val="en-US"/>
        </w:rPr>
        <w:t>. Current systems, operating at 80 °C, need about 5 g/m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of platinum for both the anode and cathode, or 10 g/m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in total (</w:t>
      </w:r>
      <w:r w:rsidR="00B508D5" w:rsidRPr="008F23CC">
        <w:rPr>
          <w:rFonts w:ascii="Times New Roman" w:hAnsi="Times New Roman" w:cs="Times New Roman"/>
          <w:color w:val="000000"/>
          <w:sz w:val="20"/>
          <w:szCs w:val="20"/>
          <w:lang w:val="en-US"/>
        </w:rPr>
        <w:t>5</w:t>
      </w:r>
      <w:r w:rsidRPr="008F23CC">
        <w:rPr>
          <w:rFonts w:ascii="Times New Roman" w:hAnsi="Times New Roman" w:cs="Times New Roman"/>
          <w:color w:val="000000"/>
          <w:sz w:val="20"/>
          <w:szCs w:val="20"/>
          <w:lang w:val="en-US"/>
        </w:rPr>
        <w:t xml:space="preserve"> g Pt/kW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for power densities of</w:t>
      </w:r>
      <w:r w:rsidR="00B508D5" w:rsidRPr="008F23CC">
        <w:rPr>
          <w:rFonts w:ascii="Times New Roman" w:hAnsi="Times New Roman" w:cs="Times New Roman"/>
          <w:color w:val="000000"/>
          <w:sz w:val="20"/>
          <w:szCs w:val="20"/>
          <w:lang w:val="en-US"/>
        </w:rPr>
        <w:t xml:space="preserve"> about</w:t>
      </w:r>
      <w:r w:rsidRPr="008F23CC">
        <w:rPr>
          <w:rFonts w:ascii="Times New Roman" w:hAnsi="Times New Roman" w:cs="Times New Roman"/>
          <w:color w:val="000000"/>
          <w:sz w:val="20"/>
          <w:szCs w:val="20"/>
          <w:lang w:val="en-US"/>
        </w:rPr>
        <w:t xml:space="preserve"> </w:t>
      </w:r>
      <w:r w:rsidR="00B508D5" w:rsidRPr="008F23CC">
        <w:rPr>
          <w:rFonts w:ascii="Times New Roman" w:hAnsi="Times New Roman" w:cs="Times New Roman"/>
          <w:color w:val="000000"/>
          <w:sz w:val="20"/>
          <w:szCs w:val="20"/>
          <w:lang w:val="en-US"/>
        </w:rPr>
        <w:t>2</w:t>
      </w:r>
      <w:r w:rsidRPr="008F23CC">
        <w:rPr>
          <w:rFonts w:ascii="Times New Roman" w:hAnsi="Times New Roman" w:cs="Times New Roman"/>
          <w:color w:val="000000"/>
          <w:sz w:val="20"/>
          <w:szCs w:val="20"/>
          <w:lang w:val="en-US"/>
        </w:rPr>
        <w:t xml:space="preserve">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New membranes, operating above 100 °C, </w:t>
      </w:r>
      <w:r w:rsidR="00B508D5" w:rsidRPr="008F23CC">
        <w:rPr>
          <w:rFonts w:ascii="Times New Roman" w:hAnsi="Times New Roman" w:cs="Times New Roman"/>
          <w:color w:val="000000"/>
          <w:sz w:val="20"/>
          <w:szCs w:val="20"/>
          <w:lang w:val="en-US"/>
        </w:rPr>
        <w:t>are expected</w:t>
      </w:r>
      <w:r w:rsidRPr="008F23CC">
        <w:rPr>
          <w:rFonts w:ascii="Times New Roman" w:hAnsi="Times New Roman" w:cs="Times New Roman"/>
          <w:color w:val="000000"/>
          <w:sz w:val="20"/>
          <w:szCs w:val="20"/>
          <w:lang w:val="en-US"/>
        </w:rPr>
        <w:t xml:space="preserve"> reduce required platinum towards </w:t>
      </w:r>
      <w:r w:rsidR="00B508D5" w:rsidRPr="008F23CC">
        <w:rPr>
          <w:rFonts w:ascii="Times New Roman" w:hAnsi="Times New Roman" w:cs="Times New Roman"/>
          <w:color w:val="000000"/>
          <w:sz w:val="20"/>
          <w:szCs w:val="20"/>
          <w:lang w:val="en-US"/>
        </w:rPr>
        <w:t xml:space="preserve">an estimated </w:t>
      </w:r>
      <w:r w:rsidRPr="008F23CC">
        <w:rPr>
          <w:rFonts w:ascii="Times New Roman" w:hAnsi="Times New Roman" w:cs="Times New Roman"/>
          <w:color w:val="000000"/>
          <w:sz w:val="20"/>
          <w:szCs w:val="20"/>
          <w:lang w:val="en-US"/>
        </w:rPr>
        <w:t>goal of 0.2 g/kW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Platinum loading of the anode can easily be reduced without affecting the performance. However, reducing platinum at the cathode to 2 – 4 g/m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within the current catalyst systems, results in efficiency losses of 2 – 4 % </w:t>
      </w:r>
      <w:r w:rsidR="00E51970">
        <w:rPr>
          <w:rFonts w:ascii="Times New Roman" w:hAnsi="Times New Roman" w:cs="Times New Roman"/>
          <w:color w:val="000000"/>
          <w:sz w:val="20"/>
          <w:szCs w:val="20"/>
          <w:lang w:val="en-US"/>
        </w:rPr>
        <w:t>[14]</w:t>
      </w:r>
      <w:r w:rsidRPr="008F23CC">
        <w:rPr>
          <w:rFonts w:ascii="Times New Roman" w:hAnsi="Times New Roman" w:cs="Times New Roman"/>
          <w:color w:val="000000"/>
          <w:sz w:val="20"/>
          <w:szCs w:val="20"/>
          <w:lang w:val="en-US"/>
        </w:rPr>
        <w:t xml:space="preserve">. Improved diffusion media and electrode structures can increase the power density, and reduce the platinum load accordingly. New electrode production technologies, leading to larger Pt surface areas, can also reduce the platinum needs, while new more active Pt cobalt and chromium alloys seem capable of </w:t>
      </w:r>
      <w:r w:rsidR="00B508D5" w:rsidRPr="008F23CC">
        <w:rPr>
          <w:rFonts w:ascii="Times New Roman" w:hAnsi="Times New Roman" w:cs="Times New Roman"/>
          <w:color w:val="000000"/>
          <w:sz w:val="20"/>
          <w:szCs w:val="20"/>
          <w:lang w:val="en-US"/>
        </w:rPr>
        <w:t xml:space="preserve">even </w:t>
      </w:r>
      <w:r w:rsidRPr="008F23CC">
        <w:rPr>
          <w:rFonts w:ascii="Times New Roman" w:hAnsi="Times New Roman" w:cs="Times New Roman"/>
          <w:color w:val="000000"/>
          <w:sz w:val="20"/>
          <w:szCs w:val="20"/>
          <w:lang w:val="en-US"/>
        </w:rPr>
        <w:t xml:space="preserve">a threefold activity increase </w:t>
      </w:r>
      <w:r w:rsidR="00E51970">
        <w:rPr>
          <w:rFonts w:ascii="Times New Roman" w:hAnsi="Times New Roman" w:cs="Times New Roman"/>
          <w:color w:val="000000"/>
          <w:sz w:val="20"/>
          <w:szCs w:val="20"/>
          <w:lang w:val="en-US"/>
        </w:rPr>
        <w:t>[5</w:t>
      </w:r>
      <w:r w:rsidR="001710B0">
        <w:rPr>
          <w:rFonts w:ascii="Times New Roman" w:hAnsi="Times New Roman" w:cs="Times New Roman"/>
          <w:color w:val="000000"/>
          <w:sz w:val="20"/>
          <w:szCs w:val="20"/>
          <w:lang w:val="en-US"/>
        </w:rPr>
        <w:t>1</w:t>
      </w:r>
      <w:r w:rsidR="00E51970">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 A possible barrier to the full market expansion for PEM fuel cells could lie in the potential global production capacity of platinum, which today is of the order of 200 t/a, and even platinum recycling or the use of other precious metals (palladium, ruthenium) may not be enough to meet demand. Thus, new active catalysts or high-temperature membranes – that do not use Pt – are critical not only for lowering costs but also for securing PEM commercialization at full potential. </w:t>
      </w:r>
    </w:p>
    <w:p w:rsidR="005A0509" w:rsidRPr="008F23CC" w:rsidRDefault="005A0509" w:rsidP="005A0509">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p>
    <w:p w:rsidR="000E2FD9" w:rsidRPr="008F23CC" w:rsidRDefault="000E2FD9" w:rsidP="003066A0">
      <w:pPr>
        <w:widowControl w:val="0"/>
        <w:autoSpaceDE w:val="0"/>
        <w:autoSpaceDN w:val="0"/>
        <w:adjustRightInd w:val="0"/>
        <w:spacing w:after="0" w:line="240" w:lineRule="auto"/>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Table </w:t>
      </w:r>
      <w:r w:rsidR="005A0509" w:rsidRPr="008F23CC">
        <w:rPr>
          <w:rFonts w:ascii="Times New Roman" w:hAnsi="Times New Roman" w:cs="Times New Roman"/>
          <w:b/>
          <w:sz w:val="20"/>
          <w:szCs w:val="20"/>
          <w:lang w:val="en-US"/>
        </w:rPr>
        <w:t>6</w:t>
      </w:r>
      <w:r w:rsidRPr="008F23CC">
        <w:rPr>
          <w:rFonts w:ascii="Times New Roman" w:hAnsi="Times New Roman" w:cs="Times New Roman"/>
          <w:sz w:val="20"/>
          <w:szCs w:val="20"/>
          <w:lang w:val="en-US"/>
        </w:rPr>
        <w:t xml:space="preserve"> Estimat</w:t>
      </w:r>
      <w:r w:rsidR="003F0781">
        <w:rPr>
          <w:rFonts w:ascii="Times New Roman" w:hAnsi="Times New Roman" w:cs="Times New Roman"/>
          <w:sz w:val="20"/>
          <w:szCs w:val="20"/>
          <w:lang w:val="en-US"/>
        </w:rPr>
        <w:t>ions for 2020’s</w:t>
      </w:r>
      <w:r w:rsidRPr="008F23CC">
        <w:rPr>
          <w:rFonts w:ascii="Times New Roman" w:hAnsi="Times New Roman" w:cs="Times New Roman"/>
          <w:sz w:val="20"/>
          <w:szCs w:val="20"/>
          <w:lang w:val="en-US"/>
        </w:rPr>
        <w:t xml:space="preserve"> SOFC and MCFC system cost [</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5</w:t>
      </w:r>
      <w:r w:rsidRPr="008F23CC">
        <w:rPr>
          <w:rFonts w:ascii="Times New Roman" w:hAnsi="Times New Roman" w:cs="Times New Roman"/>
          <w:sz w:val="20"/>
          <w:szCs w:val="20"/>
          <w:lang w:val="en-US"/>
        </w:rPr>
        <w:t>]</w:t>
      </w:r>
    </w:p>
    <w:tbl>
      <w:tblPr>
        <w:tblW w:w="8199" w:type="dxa"/>
        <w:tblInd w:w="108" w:type="dxa"/>
        <w:tblBorders>
          <w:top w:val="single" w:sz="4" w:space="0" w:color="auto"/>
          <w:bottom w:val="single" w:sz="4" w:space="0" w:color="auto"/>
        </w:tblBorders>
        <w:tblLook w:val="04A0"/>
      </w:tblPr>
      <w:tblGrid>
        <w:gridCol w:w="2517"/>
        <w:gridCol w:w="1420"/>
        <w:gridCol w:w="1420"/>
        <w:gridCol w:w="1420"/>
        <w:gridCol w:w="1422"/>
      </w:tblGrid>
      <w:tr w:rsidR="007403BC" w:rsidRPr="00272FC0" w:rsidTr="00272FC0">
        <w:tc>
          <w:tcPr>
            <w:tcW w:w="2517" w:type="dxa"/>
            <w:tcBorders>
              <w:bottom w:val="single" w:sz="4" w:space="0" w:color="auto"/>
            </w:tcBorders>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p>
        </w:tc>
        <w:tc>
          <w:tcPr>
            <w:tcW w:w="2840" w:type="dxa"/>
            <w:gridSpan w:val="2"/>
            <w:tcBorders>
              <w:bottom w:val="single" w:sz="4" w:space="0" w:color="auto"/>
            </w:tcBorders>
          </w:tcPr>
          <w:p w:rsidR="007403BC" w:rsidRPr="00272FC0" w:rsidRDefault="007403BC" w:rsidP="007403B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SOFC (200 kW)</w:t>
            </w:r>
          </w:p>
        </w:tc>
        <w:tc>
          <w:tcPr>
            <w:tcW w:w="2842" w:type="dxa"/>
            <w:gridSpan w:val="2"/>
            <w:tcBorders>
              <w:bottom w:val="single" w:sz="4" w:space="0" w:color="auto"/>
            </w:tcBorders>
          </w:tcPr>
          <w:p w:rsidR="007403BC" w:rsidRPr="00272FC0" w:rsidRDefault="007403BC" w:rsidP="007403BC">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MCFC (300 kW)</w:t>
            </w:r>
          </w:p>
        </w:tc>
      </w:tr>
      <w:tr w:rsidR="007403BC" w:rsidRPr="00272FC0" w:rsidTr="00272FC0">
        <w:tc>
          <w:tcPr>
            <w:tcW w:w="2517" w:type="dxa"/>
            <w:tcBorders>
              <w:top w:val="single" w:sz="4" w:space="0" w:color="auto"/>
              <w:bottom w:val="single" w:sz="4" w:space="0" w:color="auto"/>
            </w:tcBorders>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p>
        </w:tc>
        <w:tc>
          <w:tcPr>
            <w:tcW w:w="1420" w:type="dxa"/>
            <w:tcBorders>
              <w:top w:val="single" w:sz="4" w:space="0" w:color="auto"/>
              <w:bottom w:val="single" w:sz="4" w:space="0" w:color="auto"/>
            </w:tcBorders>
          </w:tcPr>
          <w:p w:rsidR="007403BC" w:rsidRPr="00272FC0" w:rsidRDefault="007403BC" w:rsidP="00E44F1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€/kW</w:t>
            </w:r>
            <w:r w:rsidRPr="00272FC0">
              <w:rPr>
                <w:rFonts w:ascii="Times New Roman" w:hAnsi="Times New Roman" w:cs="Times New Roman"/>
                <w:sz w:val="18"/>
                <w:szCs w:val="18"/>
                <w:vertAlign w:val="subscript"/>
                <w:lang w:val="en-US"/>
              </w:rPr>
              <w:t>e</w:t>
            </w:r>
          </w:p>
        </w:tc>
        <w:tc>
          <w:tcPr>
            <w:tcW w:w="1420" w:type="dxa"/>
            <w:tcBorders>
              <w:top w:val="single" w:sz="4" w:space="0" w:color="auto"/>
              <w:bottom w:val="single" w:sz="4" w:space="0" w:color="auto"/>
            </w:tcBorders>
          </w:tcPr>
          <w:p w:rsidR="007403BC" w:rsidRPr="00272FC0" w:rsidRDefault="007403BC" w:rsidP="00E44F1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share, %</w:t>
            </w:r>
          </w:p>
        </w:tc>
        <w:tc>
          <w:tcPr>
            <w:tcW w:w="1420" w:type="dxa"/>
            <w:tcBorders>
              <w:top w:val="single" w:sz="4" w:space="0" w:color="auto"/>
              <w:bottom w:val="single" w:sz="4" w:space="0" w:color="auto"/>
            </w:tcBorders>
          </w:tcPr>
          <w:p w:rsidR="007403BC" w:rsidRPr="00272FC0" w:rsidRDefault="007403BC" w:rsidP="00E44F1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 /kW</w:t>
            </w:r>
            <w:r w:rsidRPr="00272FC0">
              <w:rPr>
                <w:rFonts w:ascii="Times New Roman" w:hAnsi="Times New Roman" w:cs="Times New Roman"/>
                <w:sz w:val="18"/>
                <w:szCs w:val="18"/>
                <w:vertAlign w:val="subscript"/>
                <w:lang w:val="en-US"/>
              </w:rPr>
              <w:t>e</w:t>
            </w:r>
          </w:p>
        </w:tc>
        <w:tc>
          <w:tcPr>
            <w:tcW w:w="1422" w:type="dxa"/>
            <w:tcBorders>
              <w:top w:val="single" w:sz="4" w:space="0" w:color="auto"/>
              <w:bottom w:val="single" w:sz="4" w:space="0" w:color="auto"/>
            </w:tcBorders>
          </w:tcPr>
          <w:p w:rsidR="007403BC" w:rsidRPr="00272FC0" w:rsidRDefault="007403BC" w:rsidP="00E44F19">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share, %</w:t>
            </w:r>
          </w:p>
        </w:tc>
      </w:tr>
      <w:tr w:rsidR="007403BC" w:rsidRPr="00272FC0" w:rsidTr="00272FC0">
        <w:tc>
          <w:tcPr>
            <w:tcW w:w="2517" w:type="dxa"/>
            <w:tcBorders>
              <w:top w:val="single" w:sz="4" w:space="0" w:color="auto"/>
            </w:tcBorders>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fuel cell stack</w:t>
            </w:r>
          </w:p>
        </w:tc>
        <w:tc>
          <w:tcPr>
            <w:tcW w:w="1420" w:type="dxa"/>
            <w:tcBorders>
              <w:top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396</w:t>
            </w:r>
          </w:p>
        </w:tc>
        <w:tc>
          <w:tcPr>
            <w:tcW w:w="1420" w:type="dxa"/>
            <w:tcBorders>
              <w:top w:val="single" w:sz="4" w:space="0" w:color="auto"/>
            </w:tcBorders>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33</w:t>
            </w:r>
          </w:p>
        </w:tc>
        <w:tc>
          <w:tcPr>
            <w:tcW w:w="1420" w:type="dxa"/>
            <w:tcBorders>
              <w:top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418</w:t>
            </w:r>
          </w:p>
        </w:tc>
        <w:tc>
          <w:tcPr>
            <w:tcW w:w="1422" w:type="dxa"/>
            <w:tcBorders>
              <w:top w:val="single" w:sz="4" w:space="0" w:color="auto"/>
            </w:tcBorders>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35</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boiler</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382</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32</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311</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26</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operating system</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104</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9</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119</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10</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reformer</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52</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44</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heat exchanger</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66</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60</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5</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burner</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38</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47</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air supply</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38</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3</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9</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w:t>
            </w:r>
          </w:p>
        </w:tc>
      </w:tr>
      <w:tr w:rsidR="007403BC" w:rsidRPr="00272FC0" w:rsidTr="00272FC0">
        <w:tc>
          <w:tcPr>
            <w:tcW w:w="2517" w:type="dxa"/>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inverter</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66</w:t>
            </w:r>
          </w:p>
        </w:tc>
        <w:tc>
          <w:tcPr>
            <w:tcW w:w="1420" w:type="dxa"/>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c>
          <w:tcPr>
            <w:tcW w:w="1420" w:type="dxa"/>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69</w:t>
            </w:r>
          </w:p>
        </w:tc>
        <w:tc>
          <w:tcPr>
            <w:tcW w:w="1422" w:type="dxa"/>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6</w:t>
            </w:r>
          </w:p>
        </w:tc>
      </w:tr>
      <w:tr w:rsidR="007403BC" w:rsidRPr="00272FC0" w:rsidTr="00272FC0">
        <w:tc>
          <w:tcPr>
            <w:tcW w:w="2517" w:type="dxa"/>
            <w:tcBorders>
              <w:bottom w:val="single" w:sz="4" w:space="0" w:color="auto"/>
            </w:tcBorders>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frame</w:t>
            </w:r>
          </w:p>
        </w:tc>
        <w:tc>
          <w:tcPr>
            <w:tcW w:w="1420" w:type="dxa"/>
            <w:tcBorders>
              <w:bottom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42</w:t>
            </w:r>
          </w:p>
        </w:tc>
        <w:tc>
          <w:tcPr>
            <w:tcW w:w="1420" w:type="dxa"/>
            <w:tcBorders>
              <w:bottom w:val="single" w:sz="4" w:space="0" w:color="auto"/>
            </w:tcBorders>
            <w:vAlign w:val="bottom"/>
          </w:tcPr>
          <w:p w:rsidR="007403BC" w:rsidRPr="00272FC0" w:rsidRDefault="007403BC" w:rsidP="007403BC">
            <w:pPr>
              <w:widowControl w:val="0"/>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4</w:t>
            </w:r>
          </w:p>
        </w:tc>
        <w:tc>
          <w:tcPr>
            <w:tcW w:w="1420" w:type="dxa"/>
            <w:tcBorders>
              <w:bottom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101</w:t>
            </w:r>
          </w:p>
        </w:tc>
        <w:tc>
          <w:tcPr>
            <w:tcW w:w="1422" w:type="dxa"/>
            <w:tcBorders>
              <w:bottom w:val="single" w:sz="4" w:space="0" w:color="auto"/>
            </w:tcBorders>
            <w:vAlign w:val="bottom"/>
          </w:tcPr>
          <w:p w:rsidR="007403BC" w:rsidRPr="00272FC0" w:rsidRDefault="007403BC" w:rsidP="007403BC">
            <w:pPr>
              <w:widowControl w:val="0"/>
              <w:tabs>
                <w:tab w:val="left" w:pos="740"/>
              </w:tabs>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9</w:t>
            </w:r>
          </w:p>
        </w:tc>
      </w:tr>
      <w:tr w:rsidR="007403BC" w:rsidRPr="00272FC0" w:rsidTr="00272FC0">
        <w:tc>
          <w:tcPr>
            <w:tcW w:w="2517" w:type="dxa"/>
            <w:tcBorders>
              <w:top w:val="single" w:sz="4" w:space="0" w:color="auto"/>
              <w:bottom w:val="single" w:sz="4" w:space="0" w:color="auto"/>
            </w:tcBorders>
          </w:tcPr>
          <w:p w:rsidR="007403BC" w:rsidRPr="00272FC0" w:rsidRDefault="007403BC" w:rsidP="007403BC">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Total</w:t>
            </w:r>
          </w:p>
        </w:tc>
        <w:tc>
          <w:tcPr>
            <w:tcW w:w="1420" w:type="dxa"/>
            <w:tcBorders>
              <w:top w:val="single" w:sz="4" w:space="0" w:color="auto"/>
              <w:bottom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r w:rsidRPr="00272FC0">
              <w:rPr>
                <w:rFonts w:ascii="Times New Roman" w:hAnsi="Times New Roman" w:cs="Times New Roman"/>
                <w:color w:val="000000"/>
                <w:sz w:val="18"/>
                <w:szCs w:val="18"/>
              </w:rPr>
              <w:t>1184</w:t>
            </w:r>
          </w:p>
        </w:tc>
        <w:tc>
          <w:tcPr>
            <w:tcW w:w="1420" w:type="dxa"/>
            <w:tcBorders>
              <w:top w:val="single" w:sz="4" w:space="0" w:color="auto"/>
              <w:bottom w:val="single" w:sz="4" w:space="0" w:color="auto"/>
            </w:tcBorders>
            <w:vAlign w:val="bottom"/>
          </w:tcPr>
          <w:p w:rsidR="007403BC" w:rsidRPr="00272FC0" w:rsidRDefault="007403BC" w:rsidP="007403BC">
            <w:pPr>
              <w:spacing w:after="0" w:line="240" w:lineRule="auto"/>
              <w:ind w:left="-782" w:right="427"/>
              <w:jc w:val="right"/>
              <w:rPr>
                <w:rFonts w:ascii="Times New Roman" w:hAnsi="Times New Roman" w:cs="Times New Roman"/>
                <w:color w:val="000000"/>
                <w:sz w:val="18"/>
                <w:szCs w:val="18"/>
              </w:rPr>
            </w:pPr>
          </w:p>
        </w:tc>
        <w:tc>
          <w:tcPr>
            <w:tcW w:w="1420" w:type="dxa"/>
            <w:tcBorders>
              <w:top w:val="single" w:sz="4" w:space="0" w:color="auto"/>
              <w:bottom w:val="single" w:sz="4" w:space="0" w:color="auto"/>
            </w:tcBorders>
          </w:tcPr>
          <w:p w:rsidR="007403BC" w:rsidRPr="00272FC0" w:rsidRDefault="007403BC" w:rsidP="007403BC">
            <w:pPr>
              <w:widowControl w:val="0"/>
              <w:autoSpaceDE w:val="0"/>
              <w:autoSpaceDN w:val="0"/>
              <w:adjustRightInd w:val="0"/>
              <w:spacing w:after="0" w:line="240" w:lineRule="auto"/>
              <w:ind w:left="-782" w:right="427"/>
              <w:jc w:val="right"/>
              <w:rPr>
                <w:rFonts w:ascii="Times New Roman" w:hAnsi="Times New Roman" w:cs="Times New Roman"/>
                <w:sz w:val="18"/>
                <w:szCs w:val="18"/>
                <w:lang w:val="en-US"/>
              </w:rPr>
            </w:pPr>
            <w:r w:rsidRPr="00272FC0">
              <w:rPr>
                <w:rFonts w:ascii="Times New Roman" w:hAnsi="Times New Roman" w:cs="Times New Roman"/>
                <w:color w:val="000000"/>
                <w:sz w:val="18"/>
                <w:szCs w:val="18"/>
              </w:rPr>
              <w:t>1179</w:t>
            </w:r>
          </w:p>
        </w:tc>
        <w:tc>
          <w:tcPr>
            <w:tcW w:w="1422" w:type="dxa"/>
            <w:tcBorders>
              <w:top w:val="single" w:sz="4" w:space="0" w:color="auto"/>
              <w:bottom w:val="single" w:sz="4" w:space="0" w:color="auto"/>
            </w:tcBorders>
          </w:tcPr>
          <w:p w:rsidR="007403BC" w:rsidRPr="00272FC0" w:rsidRDefault="007403BC" w:rsidP="007403BC">
            <w:pPr>
              <w:widowControl w:val="0"/>
              <w:autoSpaceDE w:val="0"/>
              <w:autoSpaceDN w:val="0"/>
              <w:adjustRightInd w:val="0"/>
              <w:spacing w:after="0" w:line="240" w:lineRule="auto"/>
              <w:ind w:left="-782" w:right="427"/>
              <w:jc w:val="right"/>
              <w:rPr>
                <w:rFonts w:ascii="Times New Roman" w:hAnsi="Times New Roman" w:cs="Times New Roman"/>
                <w:sz w:val="18"/>
                <w:szCs w:val="18"/>
                <w:lang w:val="en-US"/>
              </w:rPr>
            </w:pPr>
          </w:p>
        </w:tc>
      </w:tr>
    </w:tbl>
    <w:p w:rsidR="00091CA5" w:rsidRPr="008F23CC" w:rsidRDefault="00091CA5"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5A0509" w:rsidRPr="008F23CC" w:rsidRDefault="005A0509" w:rsidP="008B7354">
      <w:pPr>
        <w:widowControl w:val="0"/>
        <w:autoSpaceDE w:val="0"/>
        <w:autoSpaceDN w:val="0"/>
        <w:adjustRightInd w:val="0"/>
        <w:spacing w:after="0" w:line="240" w:lineRule="auto"/>
        <w:ind w:firstLine="426"/>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Bipolar plates are currently made from milled graphite or gold-coated stainless steel. Ongoing research is aiming to replace these materials with polymers or low-cost steel alloys, which will allow the use of low-cost production techniques. Even today, bipolar plates can be produced at 200 €/kW, if the production volume increase to 10,000 units/a, and even below 20 €/kW for 1 million/a, i.e. 10 – 30 €/kW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 xml:space="preserve"> for power densities of 2 – 6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/m</w:t>
      </w:r>
      <w:r w:rsidRPr="008F23CC">
        <w:rPr>
          <w:rFonts w:ascii="Times New Roman" w:hAnsi="Times New Roman" w:cs="Times New Roman"/>
          <w:color w:val="000000"/>
          <w:sz w:val="20"/>
          <w:szCs w:val="20"/>
          <w:vertAlign w:val="superscript"/>
          <w:lang w:val="en-US"/>
        </w:rPr>
        <w:t>2</w:t>
      </w:r>
      <w:r w:rsidR="00E51970">
        <w:rPr>
          <w:rFonts w:ascii="Times New Roman" w:hAnsi="Times New Roman" w:cs="Times New Roman"/>
          <w:color w:val="000000"/>
          <w:sz w:val="20"/>
          <w:szCs w:val="20"/>
          <w:lang w:val="en-US"/>
        </w:rPr>
        <w:t xml:space="preserve"> [2]</w:t>
      </w:r>
      <w:r w:rsidRPr="008F23CC">
        <w:rPr>
          <w:rFonts w:ascii="Times New Roman" w:hAnsi="Times New Roman" w:cs="Times New Roman"/>
          <w:color w:val="000000"/>
          <w:sz w:val="20"/>
          <w:szCs w:val="20"/>
          <w:lang w:val="en-US"/>
        </w:rPr>
        <w:t>.</w:t>
      </w:r>
    </w:p>
    <w:p w:rsidR="005A0509" w:rsidRPr="008F23CC" w:rsidRDefault="005A0509" w:rsidP="005A0509">
      <w:pPr>
        <w:widowControl w:val="0"/>
        <w:autoSpaceDE w:val="0"/>
        <w:autoSpaceDN w:val="0"/>
        <w:adjustRightInd w:val="0"/>
        <w:spacing w:after="0" w:line="240" w:lineRule="auto"/>
        <w:rPr>
          <w:rFonts w:ascii="Times New Roman" w:hAnsi="Times New Roman" w:cs="Times New Roman"/>
          <w:sz w:val="20"/>
          <w:szCs w:val="20"/>
          <w:lang w:val="en-US"/>
        </w:rPr>
      </w:pPr>
    </w:p>
    <w:p w:rsidR="00E93829" w:rsidRPr="008F23CC" w:rsidRDefault="00E93829" w:rsidP="00E93829">
      <w:pPr>
        <w:widowControl w:val="0"/>
        <w:autoSpaceDE w:val="0"/>
        <w:autoSpaceDN w:val="0"/>
        <w:adjustRightInd w:val="0"/>
        <w:spacing w:after="0" w:line="240" w:lineRule="auto"/>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Table </w:t>
      </w:r>
      <w:r w:rsidR="005A0509" w:rsidRPr="008F23CC">
        <w:rPr>
          <w:rFonts w:ascii="Times New Roman" w:hAnsi="Times New Roman" w:cs="Times New Roman"/>
          <w:b/>
          <w:sz w:val="20"/>
          <w:szCs w:val="20"/>
          <w:lang w:val="en-US"/>
        </w:rPr>
        <w:t>7</w:t>
      </w:r>
      <w:r w:rsidRPr="008F23CC">
        <w:rPr>
          <w:rFonts w:ascii="Times New Roman" w:hAnsi="Times New Roman" w:cs="Times New Roman"/>
          <w:sz w:val="20"/>
          <w:szCs w:val="20"/>
          <w:lang w:val="en-US"/>
        </w:rPr>
        <w:t xml:space="preserve"> Comparison of conventional and SOFC CHP systems</w:t>
      </w:r>
      <w:r w:rsidR="00196051" w:rsidRPr="008F23CC">
        <w:rPr>
          <w:rFonts w:ascii="Times New Roman" w:hAnsi="Times New Roman" w:cs="Times New Roman"/>
          <w:sz w:val="20"/>
          <w:szCs w:val="20"/>
          <w:lang w:val="en-US"/>
        </w:rPr>
        <w:t xml:space="preserve"> [</w:t>
      </w:r>
      <w:r w:rsidR="00E51970">
        <w:rPr>
          <w:rFonts w:ascii="Times New Roman" w:hAnsi="Times New Roman" w:cs="Times New Roman"/>
          <w:sz w:val="20"/>
          <w:szCs w:val="20"/>
          <w:lang w:val="en-US"/>
        </w:rPr>
        <w:t>2</w:t>
      </w:r>
      <w:r w:rsidR="00196051" w:rsidRPr="008F23CC">
        <w:rPr>
          <w:rFonts w:ascii="Times New Roman" w:hAnsi="Times New Roman" w:cs="Times New Roman"/>
          <w:sz w:val="20"/>
          <w:szCs w:val="20"/>
          <w:lang w:val="en-US"/>
        </w:rPr>
        <w:t>]</w:t>
      </w:r>
    </w:p>
    <w:tbl>
      <w:tblPr>
        <w:tblW w:w="8755" w:type="dxa"/>
        <w:tblInd w:w="108" w:type="dxa"/>
        <w:tblBorders>
          <w:top w:val="single" w:sz="4" w:space="0" w:color="auto"/>
          <w:bottom w:val="single" w:sz="4" w:space="0" w:color="auto"/>
        </w:tblBorders>
        <w:tblLook w:val="04A0"/>
      </w:tblPr>
      <w:tblGrid>
        <w:gridCol w:w="3510"/>
        <w:gridCol w:w="1701"/>
        <w:gridCol w:w="1701"/>
        <w:gridCol w:w="1843"/>
      </w:tblGrid>
      <w:tr w:rsidR="00E93829" w:rsidRPr="00272FC0" w:rsidTr="006C3B50">
        <w:trPr>
          <w:trHeight w:val="284"/>
        </w:trPr>
        <w:tc>
          <w:tcPr>
            <w:tcW w:w="3510" w:type="dxa"/>
            <w:tcBorders>
              <w:bottom w:val="single" w:sz="4" w:space="0" w:color="auto"/>
            </w:tcBorders>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p>
        </w:tc>
        <w:tc>
          <w:tcPr>
            <w:tcW w:w="1701" w:type="dxa"/>
            <w:tcBorders>
              <w:bottom w:val="single" w:sz="4" w:space="0" w:color="auto"/>
            </w:tcBorders>
          </w:tcPr>
          <w:p w:rsidR="00E93829" w:rsidRPr="00272FC0" w:rsidRDefault="00E93829" w:rsidP="006C3B5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conventional</w:t>
            </w:r>
          </w:p>
        </w:tc>
        <w:tc>
          <w:tcPr>
            <w:tcW w:w="1701" w:type="dxa"/>
            <w:tcBorders>
              <w:bottom w:val="single" w:sz="4" w:space="0" w:color="auto"/>
            </w:tcBorders>
          </w:tcPr>
          <w:p w:rsidR="00E93829" w:rsidRPr="00272FC0" w:rsidRDefault="00E93829" w:rsidP="006C3B5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SOFC 2010</w:t>
            </w:r>
          </w:p>
        </w:tc>
        <w:tc>
          <w:tcPr>
            <w:tcW w:w="1843" w:type="dxa"/>
            <w:tcBorders>
              <w:bottom w:val="single" w:sz="4" w:space="0" w:color="auto"/>
            </w:tcBorders>
          </w:tcPr>
          <w:p w:rsidR="00E93829" w:rsidRPr="00272FC0" w:rsidRDefault="00E93829" w:rsidP="006C3B50">
            <w:pPr>
              <w:widowControl w:val="0"/>
              <w:autoSpaceDE w:val="0"/>
              <w:autoSpaceDN w:val="0"/>
              <w:adjustRightInd w:val="0"/>
              <w:spacing w:after="0" w:line="240" w:lineRule="auto"/>
              <w:jc w:val="center"/>
              <w:rPr>
                <w:rFonts w:ascii="Times New Roman" w:hAnsi="Times New Roman" w:cs="Times New Roman"/>
                <w:sz w:val="18"/>
                <w:szCs w:val="18"/>
                <w:lang w:val="en-US"/>
              </w:rPr>
            </w:pPr>
            <w:r w:rsidRPr="00272FC0">
              <w:rPr>
                <w:rFonts w:ascii="Times New Roman" w:hAnsi="Times New Roman" w:cs="Times New Roman"/>
                <w:sz w:val="18"/>
                <w:szCs w:val="18"/>
                <w:lang w:val="en-US"/>
              </w:rPr>
              <w:t>SOFC 2030</w:t>
            </w:r>
          </w:p>
        </w:tc>
      </w:tr>
      <w:tr w:rsidR="00E93829" w:rsidRPr="00272FC0" w:rsidTr="006C3B50">
        <w:tc>
          <w:tcPr>
            <w:tcW w:w="3510" w:type="dxa"/>
            <w:tcBorders>
              <w:top w:val="single" w:sz="4" w:space="0" w:color="auto"/>
              <w:bottom w:val="nil"/>
            </w:tcBorders>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specific investment, €/kW</w:t>
            </w:r>
          </w:p>
        </w:tc>
        <w:tc>
          <w:tcPr>
            <w:tcW w:w="1701" w:type="dxa"/>
            <w:tcBorders>
              <w:top w:val="single" w:sz="4" w:space="0" w:color="auto"/>
              <w:bottom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1000</w:t>
            </w:r>
          </w:p>
        </w:tc>
        <w:tc>
          <w:tcPr>
            <w:tcW w:w="1701" w:type="dxa"/>
            <w:tcBorders>
              <w:top w:val="single" w:sz="4" w:space="0" w:color="auto"/>
              <w:bottom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5000</w:t>
            </w:r>
          </w:p>
        </w:tc>
        <w:tc>
          <w:tcPr>
            <w:tcW w:w="1843" w:type="dxa"/>
            <w:tcBorders>
              <w:top w:val="single" w:sz="4" w:space="0" w:color="auto"/>
              <w:bottom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1000</w:t>
            </w:r>
          </w:p>
        </w:tc>
      </w:tr>
      <w:tr w:rsidR="00E93829" w:rsidRPr="00272FC0" w:rsidTr="006C3B50">
        <w:tc>
          <w:tcPr>
            <w:tcW w:w="3510" w:type="dxa"/>
            <w:tcBorders>
              <w:top w:val="nil"/>
            </w:tcBorders>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electrical power, kWe</w:t>
            </w:r>
          </w:p>
        </w:tc>
        <w:tc>
          <w:tcPr>
            <w:tcW w:w="1701" w:type="dxa"/>
            <w:tcBorders>
              <w:top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200</w:t>
            </w:r>
          </w:p>
        </w:tc>
        <w:tc>
          <w:tcPr>
            <w:tcW w:w="1701" w:type="dxa"/>
            <w:tcBorders>
              <w:top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200</w:t>
            </w:r>
          </w:p>
        </w:tc>
        <w:tc>
          <w:tcPr>
            <w:tcW w:w="1843" w:type="dxa"/>
            <w:tcBorders>
              <w:top w:val="nil"/>
            </w:tcBorders>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200</w:t>
            </w:r>
          </w:p>
        </w:tc>
      </w:tr>
      <w:tr w:rsidR="00E93829" w:rsidRPr="00272FC0" w:rsidTr="006C3B50">
        <w:tc>
          <w:tcPr>
            <w:tcW w:w="3510" w:type="dxa"/>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thermal power, kWth</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326</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244</w:t>
            </w:r>
          </w:p>
        </w:tc>
        <w:tc>
          <w:tcPr>
            <w:tcW w:w="1843"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164</w:t>
            </w:r>
          </w:p>
        </w:tc>
      </w:tr>
      <w:tr w:rsidR="00E93829" w:rsidRPr="00272FC0" w:rsidTr="006C3B50">
        <w:tc>
          <w:tcPr>
            <w:tcW w:w="3510" w:type="dxa"/>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electrical efficiency, %</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38</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45</w:t>
            </w:r>
          </w:p>
        </w:tc>
        <w:tc>
          <w:tcPr>
            <w:tcW w:w="1843"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55</w:t>
            </w:r>
          </w:p>
        </w:tc>
      </w:tr>
      <w:tr w:rsidR="00E93829" w:rsidRPr="00272FC0" w:rsidTr="006C3B50">
        <w:tc>
          <w:tcPr>
            <w:tcW w:w="3510" w:type="dxa"/>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overall efficiency (el. + thermal), %</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90</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85</w:t>
            </w:r>
          </w:p>
        </w:tc>
        <w:tc>
          <w:tcPr>
            <w:tcW w:w="1843"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90</w:t>
            </w:r>
          </w:p>
        </w:tc>
      </w:tr>
      <w:tr w:rsidR="00E93829" w:rsidRPr="00272FC0" w:rsidTr="006C3B50">
        <w:tc>
          <w:tcPr>
            <w:tcW w:w="3510" w:type="dxa"/>
          </w:tcPr>
          <w:p w:rsidR="00E93829" w:rsidRPr="00272FC0" w:rsidRDefault="00E93829" w:rsidP="006C3B50">
            <w:pPr>
              <w:widowControl w:val="0"/>
              <w:autoSpaceDE w:val="0"/>
              <w:autoSpaceDN w:val="0"/>
              <w:adjustRightInd w:val="0"/>
              <w:spacing w:after="0" w:line="240" w:lineRule="auto"/>
              <w:rPr>
                <w:rFonts w:ascii="Times New Roman" w:hAnsi="Times New Roman" w:cs="Times New Roman"/>
                <w:sz w:val="18"/>
                <w:szCs w:val="18"/>
                <w:lang w:val="en-US"/>
              </w:rPr>
            </w:pPr>
            <w:r w:rsidRPr="00272FC0">
              <w:rPr>
                <w:rFonts w:ascii="Times New Roman" w:hAnsi="Times New Roman" w:cs="Times New Roman"/>
                <w:sz w:val="18"/>
                <w:szCs w:val="18"/>
                <w:lang w:val="en-US"/>
              </w:rPr>
              <w:t>Maintenance, €/kWh</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1.5</w:t>
            </w:r>
          </w:p>
        </w:tc>
        <w:tc>
          <w:tcPr>
            <w:tcW w:w="1701"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2.5</w:t>
            </w:r>
          </w:p>
        </w:tc>
        <w:tc>
          <w:tcPr>
            <w:tcW w:w="1843" w:type="dxa"/>
          </w:tcPr>
          <w:p w:rsidR="00E93829" w:rsidRPr="00272FC0" w:rsidRDefault="00E93829" w:rsidP="006C3B50">
            <w:pPr>
              <w:widowControl w:val="0"/>
              <w:autoSpaceDE w:val="0"/>
              <w:autoSpaceDN w:val="0"/>
              <w:adjustRightInd w:val="0"/>
              <w:spacing w:after="0" w:line="240" w:lineRule="auto"/>
              <w:ind w:left="-816" w:right="459"/>
              <w:jc w:val="right"/>
              <w:rPr>
                <w:rFonts w:ascii="Times New Roman" w:hAnsi="Times New Roman" w:cs="Times New Roman"/>
                <w:sz w:val="18"/>
                <w:szCs w:val="18"/>
                <w:lang w:val="en-US"/>
              </w:rPr>
            </w:pPr>
            <w:r w:rsidRPr="00272FC0">
              <w:rPr>
                <w:rFonts w:ascii="Times New Roman" w:hAnsi="Times New Roman" w:cs="Times New Roman"/>
                <w:sz w:val="18"/>
                <w:szCs w:val="18"/>
                <w:lang w:val="en-US"/>
              </w:rPr>
              <w:t>0.5</w:t>
            </w:r>
          </w:p>
        </w:tc>
      </w:tr>
    </w:tbl>
    <w:p w:rsidR="00A3514A" w:rsidRPr="008F23CC" w:rsidRDefault="00A3514A" w:rsidP="00A3514A">
      <w:pPr>
        <w:widowControl w:val="0"/>
        <w:autoSpaceDE w:val="0"/>
        <w:autoSpaceDN w:val="0"/>
        <w:adjustRightInd w:val="0"/>
        <w:spacing w:after="0" w:line="240" w:lineRule="auto"/>
        <w:rPr>
          <w:rFonts w:ascii="Times New Roman" w:hAnsi="Times New Roman" w:cs="Times New Roman"/>
          <w:sz w:val="20"/>
          <w:szCs w:val="20"/>
          <w:lang w:val="en-US"/>
        </w:rPr>
      </w:pPr>
    </w:p>
    <w:p w:rsidR="001F091A" w:rsidRDefault="005A0509"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color w:val="000000"/>
          <w:sz w:val="20"/>
          <w:szCs w:val="20"/>
          <w:lang w:val="en-US"/>
        </w:rPr>
        <w:t>According to the aforementioned, i</w:t>
      </w:r>
      <w:r w:rsidRPr="008F23CC">
        <w:rPr>
          <w:rFonts w:ascii="Times New Roman" w:hAnsi="Times New Roman" w:cs="Times New Roman"/>
          <w:sz w:val="20"/>
          <w:szCs w:val="20"/>
          <w:lang w:val="en-US"/>
        </w:rPr>
        <w:t>t is possible for the cost of the PEM fuel cell stacks to be lower than even 70 €/kW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in the near future, while a projected cost of only 40 €/kW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might be possible, assuming a power density increase to 4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/m</w:t>
      </w:r>
      <w:r w:rsidRPr="008F23CC">
        <w:rPr>
          <w:rFonts w:ascii="Times New Roman" w:hAnsi="Times New Roman" w:cs="Times New Roman"/>
          <w:sz w:val="20"/>
          <w:szCs w:val="20"/>
          <w:vertAlign w:val="superscript"/>
          <w:lang w:val="en-US"/>
        </w:rPr>
        <w:t>2</w:t>
      </w:r>
      <w:r w:rsidRPr="008F23CC">
        <w:rPr>
          <w:rFonts w:ascii="Times New Roman" w:hAnsi="Times New Roman" w:cs="Times New Roman"/>
          <w:sz w:val="20"/>
          <w:szCs w:val="20"/>
          <w:lang w:val="en-US"/>
        </w:rPr>
        <w:t xml:space="preserve"> and the use of cheaper electrodes and bipolar plates. However, it is estimated that reducing costs to that level cannot be achieved with gradual improvements of the existing technologies, and besides new membranes,</w:t>
      </w:r>
      <w:r w:rsidR="009A2C00"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electrodes and bipolar plates production technologies and materials, even higher current densities and fuel cell efficiencies and lifetimes are required [</w:t>
      </w:r>
      <w:r w:rsidR="00E51970">
        <w:rPr>
          <w:rFonts w:ascii="Times New Roman" w:hAnsi="Times New Roman" w:cs="Times New Roman"/>
          <w:sz w:val="20"/>
          <w:szCs w:val="20"/>
          <w:lang w:val="en-US"/>
        </w:rPr>
        <w:t>2</w:t>
      </w:r>
      <w:r w:rsidRPr="008F23CC">
        <w:rPr>
          <w:rFonts w:ascii="Times New Roman" w:hAnsi="Times New Roman" w:cs="Times New Roman"/>
          <w:sz w:val="20"/>
          <w:szCs w:val="20"/>
          <w:lang w:val="en-US"/>
        </w:rPr>
        <w:t>].</w:t>
      </w:r>
      <w:r w:rsidRPr="008F23CC">
        <w:rPr>
          <w:rFonts w:ascii="Times New Roman" w:hAnsi="Times New Roman" w:cs="Times New Roman"/>
          <w:color w:val="000000"/>
          <w:sz w:val="20"/>
          <w:szCs w:val="20"/>
          <w:lang w:val="en-US"/>
        </w:rPr>
        <w:t xml:space="preserve"> Furthermore, there is a trade-off between higher power densities and higher efficiencies, and depending on </w:t>
      </w:r>
      <w:r w:rsidRPr="008F23CC">
        <w:rPr>
          <w:rFonts w:ascii="Times New Roman" w:hAnsi="Times New Roman" w:cs="Times New Roman"/>
          <w:color w:val="000000"/>
          <w:sz w:val="20"/>
          <w:szCs w:val="20"/>
          <w:lang w:val="en-US"/>
        </w:rPr>
        <w:lastRenderedPageBreak/>
        <w:t>capital costs and fuel costs there exists an optimal power density to minimize the cost per unit of energy produced. Current cells achieve 0.3 – 0.6 A/cm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at 0.6 – 0.7 V, with power density in the range of 1.8 – 4.2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(2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average). Nevertheless, 3 kW</w:t>
      </w:r>
      <w:r w:rsidRPr="008F23CC">
        <w:rPr>
          <w:rFonts w:ascii="Times New Roman" w:hAnsi="Times New Roman" w:cs="Times New Roman"/>
          <w:color w:val="000000"/>
          <w:sz w:val="20"/>
          <w:szCs w:val="20"/>
          <w:vertAlign w:val="subscript"/>
          <w:lang w:val="en-US"/>
        </w:rPr>
        <w:t>e</w:t>
      </w:r>
      <w:r w:rsidRPr="008F23CC">
        <w:rPr>
          <w:rFonts w:ascii="Times New Roman" w:hAnsi="Times New Roman" w:cs="Times New Roman"/>
          <w:color w:val="000000"/>
          <w:sz w:val="20"/>
          <w:szCs w:val="20"/>
          <w:lang w:val="en-US"/>
        </w:rPr>
        <w:t>/m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are achievable with minor improvements, while values of 4 – 6 kW/m</w:t>
      </w:r>
      <w:r w:rsidRPr="008F23CC">
        <w:rPr>
          <w:rFonts w:ascii="Times New Roman" w:hAnsi="Times New Roman" w:cs="Times New Roman"/>
          <w:color w:val="000000"/>
          <w:sz w:val="20"/>
          <w:szCs w:val="20"/>
          <w:vertAlign w:val="superscript"/>
          <w:lang w:val="en-US"/>
        </w:rPr>
        <w:t>2</w:t>
      </w:r>
      <w:r w:rsidRPr="008F23CC">
        <w:rPr>
          <w:rFonts w:ascii="Times New Roman" w:hAnsi="Times New Roman" w:cs="Times New Roman"/>
          <w:color w:val="000000"/>
          <w:sz w:val="20"/>
          <w:szCs w:val="20"/>
          <w:lang w:val="en-US"/>
        </w:rPr>
        <w:t xml:space="preserve"> would necessitate improved membrane materials.</w:t>
      </w:r>
      <w:r w:rsidR="001F091A" w:rsidRPr="001F091A">
        <w:rPr>
          <w:rFonts w:ascii="Times New Roman" w:hAnsi="Times New Roman" w:cs="Times New Roman"/>
          <w:sz w:val="20"/>
          <w:szCs w:val="20"/>
          <w:lang w:val="en-US"/>
        </w:rPr>
        <w:t xml:space="preserve"> </w:t>
      </w:r>
    </w:p>
    <w:p w:rsidR="001C3F28" w:rsidRPr="008F23CC" w:rsidRDefault="0043464B" w:rsidP="0043464B">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drawing>
          <wp:inline distT="0" distB="0" distL="0" distR="0">
            <wp:extent cx="4229100" cy="2876550"/>
            <wp:effectExtent l="0" t="0" r="0"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229100" cy="2876550"/>
                    </a:xfrm>
                    <a:prstGeom prst="rect">
                      <a:avLst/>
                    </a:prstGeom>
                    <a:noFill/>
                    <a:ln w="9525">
                      <a:noFill/>
                      <a:miter lim="800000"/>
                      <a:headEnd/>
                      <a:tailEnd/>
                    </a:ln>
                  </pic:spPr>
                </pic:pic>
              </a:graphicData>
            </a:graphic>
          </wp:inline>
        </w:drawing>
      </w:r>
    </w:p>
    <w:p w:rsidR="001177DF" w:rsidRPr="008F23CC" w:rsidRDefault="002C3E77" w:rsidP="00DC67EB">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 xml:space="preserve">Figure </w:t>
      </w:r>
      <w:r w:rsidR="000153F6" w:rsidRPr="008F23CC">
        <w:rPr>
          <w:rFonts w:ascii="Times New Roman" w:hAnsi="Times New Roman" w:cs="Times New Roman"/>
          <w:b/>
          <w:sz w:val="20"/>
          <w:szCs w:val="20"/>
          <w:lang w:val="en-US"/>
        </w:rPr>
        <w:t>4</w:t>
      </w:r>
      <w:r w:rsidRPr="008F23CC">
        <w:rPr>
          <w:rFonts w:ascii="Times New Roman" w:hAnsi="Times New Roman" w:cs="Times New Roman"/>
          <w:sz w:val="20"/>
          <w:szCs w:val="20"/>
          <w:lang w:val="en-US"/>
        </w:rPr>
        <w:t xml:space="preserve"> Projection of PEMFC manufacturing and components costs [</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3</w:t>
      </w:r>
      <w:r w:rsidRPr="008F23CC">
        <w:rPr>
          <w:rFonts w:ascii="Times New Roman" w:hAnsi="Times New Roman" w:cs="Times New Roman"/>
          <w:sz w:val="20"/>
          <w:szCs w:val="20"/>
          <w:lang w:val="en-US"/>
        </w:rPr>
        <w:t>]</w:t>
      </w:r>
    </w:p>
    <w:p w:rsidR="00936ADD" w:rsidRDefault="00936ADD" w:rsidP="00936ADD">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p>
    <w:p w:rsidR="00936ADD" w:rsidRPr="008F23CC" w:rsidRDefault="00936ADD" w:rsidP="00936ADD">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But the most important role in the cost reduction of fuel cells is expected to be played by the manufacturing learning effects, due to higher production volumes. A quantification of learning effects (based on the concept of learning curves for the dependence of unit costs on cumulative production), and for an average learning factor equal to</w:t>
      </w:r>
      <w:r w:rsidR="003F0781">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0.8, predicts reduction of fuel cell system costs – for market entry value of 15,000 €/kW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at 20 MW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cumulative production – even below 2.000 €/kW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at a cumulative production level above 10,000 MW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after an initial steep cost reduction to 3.000 €/kW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at cumulative production of 3.000 MW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(at this point certain applications become economically attractive) [</w:t>
      </w:r>
      <w:r w:rsidR="00E51970">
        <w:rPr>
          <w:rFonts w:ascii="Times New Roman" w:hAnsi="Times New Roman" w:cs="Times New Roman"/>
          <w:sz w:val="20"/>
          <w:szCs w:val="20"/>
          <w:lang w:val="en-US"/>
        </w:rPr>
        <w:t>3</w:t>
      </w:r>
      <w:r w:rsidRPr="008F23CC">
        <w:rPr>
          <w:rFonts w:ascii="Times New Roman" w:hAnsi="Times New Roman" w:cs="Times New Roman"/>
          <w:sz w:val="20"/>
          <w:szCs w:val="20"/>
          <w:lang w:val="en-US"/>
        </w:rPr>
        <w:t>]. The projection of PEM fuel cell manufacturing costs, according to a scenario based on the learning effects of the corresponding industry, is presented in Figure 4 [</w:t>
      </w:r>
      <w:r w:rsidR="00E51970">
        <w:rPr>
          <w:rFonts w:ascii="Times New Roman" w:hAnsi="Times New Roman" w:cs="Times New Roman"/>
          <w:sz w:val="20"/>
          <w:szCs w:val="20"/>
          <w:lang w:val="en-US"/>
        </w:rPr>
        <w:t>4</w:t>
      </w:r>
      <w:r w:rsidR="001710B0">
        <w:rPr>
          <w:rFonts w:ascii="Times New Roman" w:hAnsi="Times New Roman" w:cs="Times New Roman"/>
          <w:sz w:val="20"/>
          <w:szCs w:val="20"/>
          <w:lang w:val="en-US"/>
        </w:rPr>
        <w:t>3</w:t>
      </w:r>
      <w:r w:rsidRPr="008F23CC">
        <w:rPr>
          <w:rFonts w:ascii="Times New Roman" w:hAnsi="Times New Roman" w:cs="Times New Roman"/>
          <w:sz w:val="20"/>
          <w:szCs w:val="20"/>
          <w:lang w:val="en-US"/>
        </w:rPr>
        <w:t>]. Especially for SOFC systems fuelled by natural gas, assuming annual production of 500,000 units, the cost is expected to range from 725 to 1400 €/kW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depending on the system size [</w:t>
      </w:r>
      <w:r w:rsidR="00E51970">
        <w:rPr>
          <w:rFonts w:ascii="Times New Roman" w:hAnsi="Times New Roman" w:cs="Times New Roman"/>
          <w:sz w:val="20"/>
          <w:szCs w:val="20"/>
          <w:lang w:val="en-US"/>
        </w:rPr>
        <w:t>2</w:t>
      </w:r>
      <w:r w:rsidRPr="008F23CC">
        <w:rPr>
          <w:rFonts w:ascii="Times New Roman" w:hAnsi="Times New Roman" w:cs="Times New Roman"/>
          <w:sz w:val="20"/>
          <w:szCs w:val="20"/>
          <w:lang w:val="en-US"/>
        </w:rPr>
        <w:t>]. Table 7 compares the characteristics of conventional and SOFC systems, for a required capacity of 200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predicting SOFC investment costs coming down to the level of conventional systems by 2030 </w:t>
      </w:r>
      <w:r w:rsidR="00E51970">
        <w:rPr>
          <w:rFonts w:ascii="Times New Roman" w:hAnsi="Times New Roman" w:cs="Times New Roman"/>
          <w:sz w:val="20"/>
          <w:szCs w:val="20"/>
          <w:lang w:val="en-US"/>
        </w:rPr>
        <w:t>[2]</w:t>
      </w:r>
      <w:r w:rsidRPr="008F23CC">
        <w:rPr>
          <w:rFonts w:ascii="Times New Roman" w:hAnsi="Times New Roman" w:cs="Times New Roman"/>
          <w:sz w:val="20"/>
          <w:szCs w:val="20"/>
          <w:lang w:val="en-US"/>
        </w:rPr>
        <w:t xml:space="preserve">. </w:t>
      </w:r>
    </w:p>
    <w:p w:rsidR="001F091A" w:rsidRDefault="001F091A" w:rsidP="001F091A">
      <w:pPr>
        <w:widowControl w:val="0"/>
        <w:autoSpaceDE w:val="0"/>
        <w:autoSpaceDN w:val="0"/>
        <w:adjustRightInd w:val="0"/>
        <w:spacing w:after="0" w:line="240" w:lineRule="auto"/>
        <w:rPr>
          <w:rFonts w:ascii="Times New Roman" w:hAnsi="Times New Roman" w:cs="Times New Roman"/>
          <w:b/>
          <w:sz w:val="20"/>
          <w:szCs w:val="20"/>
          <w:lang w:val="en-US"/>
        </w:rPr>
      </w:pPr>
    </w:p>
    <w:p w:rsidR="001F091A" w:rsidRPr="008F23CC" w:rsidRDefault="001F091A" w:rsidP="001F091A">
      <w:pPr>
        <w:widowControl w:val="0"/>
        <w:autoSpaceDE w:val="0"/>
        <w:autoSpaceDN w:val="0"/>
        <w:adjustRightInd w:val="0"/>
        <w:spacing w:after="0" w:line="240" w:lineRule="auto"/>
        <w:rPr>
          <w:rFonts w:ascii="Times New Roman" w:hAnsi="Times New Roman" w:cs="Times New Roman"/>
          <w:b/>
          <w:sz w:val="20"/>
          <w:szCs w:val="20"/>
          <w:lang w:val="en-US"/>
        </w:rPr>
      </w:pPr>
      <w:r w:rsidRPr="008F23CC">
        <w:rPr>
          <w:rFonts w:ascii="Times New Roman" w:hAnsi="Times New Roman" w:cs="Times New Roman"/>
          <w:b/>
          <w:sz w:val="20"/>
          <w:szCs w:val="20"/>
          <w:lang w:val="en-US"/>
        </w:rPr>
        <w:t>Allowable Cost of Fuel Cell Systems</w:t>
      </w:r>
    </w:p>
    <w:p w:rsidR="001F091A" w:rsidRPr="008F23CC" w:rsidRDefault="001F091A" w:rsidP="001F091A">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 cost at which fuel cells will become competitive to conventional system</w:t>
      </w:r>
      <w:r w:rsidR="003F0781">
        <w:rPr>
          <w:rFonts w:ascii="Times New Roman" w:hAnsi="Times New Roman" w:cs="Times New Roman"/>
          <w:sz w:val="20"/>
          <w:szCs w:val="20"/>
          <w:lang w:val="en-US"/>
        </w:rPr>
        <w:t>s</w:t>
      </w:r>
      <w:r w:rsidRPr="008F23CC">
        <w:rPr>
          <w:rFonts w:ascii="Times New Roman" w:hAnsi="Times New Roman" w:cs="Times New Roman"/>
          <w:sz w:val="20"/>
          <w:szCs w:val="20"/>
          <w:lang w:val="en-US"/>
        </w:rPr>
        <w:t>, is determined by the corresponding costs of the competing technologies. Due to their higher efficiencies, fuel cell can withstand 20 – 30 % higher capital costs than other distributed systems, and this difference increases for smaller systems. Especially for domestic applications (up to 5 kW), the high prices of household electricity is estimated to create an allowable costs of fuel cells up to 2,000 €/kW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w:t>
      </w:r>
      <w:r w:rsidR="00E51970">
        <w:rPr>
          <w:rFonts w:ascii="Times New Roman" w:hAnsi="Times New Roman" w:cs="Times New Roman"/>
          <w:sz w:val="20"/>
          <w:szCs w:val="20"/>
          <w:lang w:val="en-US"/>
        </w:rPr>
        <w:t>3</w:t>
      </w:r>
      <w:r w:rsidRPr="008F23CC">
        <w:rPr>
          <w:rFonts w:ascii="Times New Roman" w:hAnsi="Times New Roman" w:cs="Times New Roman"/>
          <w:sz w:val="20"/>
          <w:szCs w:val="20"/>
          <w:lang w:val="en-US"/>
        </w:rPr>
        <w:t xml:space="preserve">]. </w:t>
      </w:r>
    </w:p>
    <w:p w:rsidR="005A0509" w:rsidRPr="008F23CC" w:rsidRDefault="005A0509" w:rsidP="005A0509">
      <w:pPr>
        <w:widowControl w:val="0"/>
        <w:autoSpaceDE w:val="0"/>
        <w:autoSpaceDN w:val="0"/>
        <w:adjustRightInd w:val="0"/>
        <w:spacing w:after="0" w:line="240" w:lineRule="auto"/>
        <w:jc w:val="both"/>
        <w:rPr>
          <w:rFonts w:ascii="Times New Roman" w:hAnsi="Times New Roman" w:cs="Times New Roman"/>
          <w:sz w:val="20"/>
          <w:szCs w:val="20"/>
          <w:lang w:val="en-US"/>
        </w:rPr>
      </w:pPr>
    </w:p>
    <w:p w:rsidR="003B5E57" w:rsidRPr="008F23CC" w:rsidRDefault="003B5E57" w:rsidP="003066A0">
      <w:pPr>
        <w:pStyle w:val="Default"/>
        <w:widowControl w:val="0"/>
        <w:rPr>
          <w:sz w:val="20"/>
          <w:szCs w:val="20"/>
          <w:lang w:val="en-US"/>
        </w:rPr>
      </w:pPr>
      <w:r w:rsidRPr="008F23CC">
        <w:rPr>
          <w:b/>
          <w:sz w:val="20"/>
          <w:szCs w:val="20"/>
          <w:lang w:val="en-US"/>
        </w:rPr>
        <w:t xml:space="preserve">Table </w:t>
      </w:r>
      <w:r w:rsidR="000153F6" w:rsidRPr="008F23CC">
        <w:rPr>
          <w:b/>
          <w:sz w:val="20"/>
          <w:szCs w:val="20"/>
          <w:lang w:val="en-US"/>
        </w:rPr>
        <w:t>8</w:t>
      </w:r>
      <w:r w:rsidRPr="008F23CC">
        <w:rPr>
          <w:sz w:val="20"/>
          <w:szCs w:val="20"/>
          <w:lang w:val="en-US"/>
        </w:rPr>
        <w:t xml:space="preserve"> Performance and costs of PEM, SOFC, PAFC and AFC, up to 5 kW</w:t>
      </w:r>
      <w:r w:rsidR="00A3514A" w:rsidRPr="008F23CC">
        <w:rPr>
          <w:sz w:val="20"/>
          <w:szCs w:val="20"/>
          <w:vertAlign w:val="subscript"/>
          <w:lang w:val="en-US"/>
        </w:rPr>
        <w:t>e</w:t>
      </w:r>
      <w:r w:rsidRPr="008F23CC">
        <w:rPr>
          <w:sz w:val="20"/>
          <w:szCs w:val="20"/>
          <w:lang w:val="en-US"/>
        </w:rPr>
        <w:t xml:space="preserve"> fuel cells</w:t>
      </w:r>
      <w:r w:rsidR="00196051" w:rsidRPr="008F23CC">
        <w:rPr>
          <w:sz w:val="20"/>
          <w:szCs w:val="20"/>
          <w:lang w:val="en-US"/>
        </w:rPr>
        <w:t xml:space="preserve"> [</w:t>
      </w:r>
      <w:r w:rsidR="002647F4" w:rsidRPr="002647F4">
        <w:rPr>
          <w:color w:val="000000" w:themeColor="text1"/>
          <w:sz w:val="20"/>
          <w:szCs w:val="20"/>
          <w:lang w:val="en-US"/>
        </w:rPr>
        <w:t>35</w:t>
      </w:r>
      <w:r w:rsidR="00196051" w:rsidRPr="008F23CC">
        <w:rPr>
          <w:sz w:val="20"/>
          <w:szCs w:val="20"/>
          <w:lang w:val="en-US"/>
        </w:rPr>
        <w:t>]</w:t>
      </w:r>
    </w:p>
    <w:tbl>
      <w:tblPr>
        <w:tblStyle w:val="a3"/>
        <w:tblW w:w="8613"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802"/>
        <w:gridCol w:w="1417"/>
        <w:gridCol w:w="1418"/>
        <w:gridCol w:w="1418"/>
        <w:gridCol w:w="1558"/>
      </w:tblGrid>
      <w:tr w:rsidR="008A23A8" w:rsidRPr="00272FC0" w:rsidTr="00272FC0">
        <w:tc>
          <w:tcPr>
            <w:tcW w:w="2802" w:type="dxa"/>
            <w:tcBorders>
              <w:bottom w:val="single" w:sz="4" w:space="0" w:color="auto"/>
            </w:tcBorders>
          </w:tcPr>
          <w:p w:rsidR="008A23A8" w:rsidRPr="00272FC0" w:rsidRDefault="008A23A8" w:rsidP="003066A0">
            <w:pPr>
              <w:pStyle w:val="Default"/>
              <w:widowControl w:val="0"/>
              <w:ind w:right="-108"/>
              <w:rPr>
                <w:sz w:val="18"/>
                <w:szCs w:val="18"/>
                <w:lang w:val="en-US"/>
              </w:rPr>
            </w:pPr>
          </w:p>
        </w:tc>
        <w:tc>
          <w:tcPr>
            <w:tcW w:w="1417" w:type="dxa"/>
            <w:tcBorders>
              <w:bottom w:val="single" w:sz="4" w:space="0" w:color="auto"/>
            </w:tcBorders>
          </w:tcPr>
          <w:p w:rsidR="008A23A8" w:rsidRPr="00272FC0" w:rsidRDefault="00C45830" w:rsidP="003066A0">
            <w:pPr>
              <w:pStyle w:val="Default"/>
              <w:widowControl w:val="0"/>
              <w:jc w:val="center"/>
              <w:rPr>
                <w:sz w:val="18"/>
                <w:szCs w:val="18"/>
                <w:lang w:val="en-US"/>
              </w:rPr>
            </w:pPr>
            <w:r w:rsidRPr="00272FC0">
              <w:rPr>
                <w:sz w:val="18"/>
                <w:szCs w:val="18"/>
                <w:lang w:val="en-US"/>
              </w:rPr>
              <w:t>PEMFC</w:t>
            </w:r>
          </w:p>
        </w:tc>
        <w:tc>
          <w:tcPr>
            <w:tcW w:w="1418" w:type="dxa"/>
            <w:tcBorders>
              <w:bottom w:val="single" w:sz="4" w:space="0" w:color="auto"/>
            </w:tcBorders>
          </w:tcPr>
          <w:p w:rsidR="008A23A8" w:rsidRPr="00272FC0" w:rsidRDefault="00DC4746" w:rsidP="003066A0">
            <w:pPr>
              <w:pStyle w:val="Default"/>
              <w:widowControl w:val="0"/>
              <w:jc w:val="center"/>
              <w:rPr>
                <w:sz w:val="18"/>
                <w:szCs w:val="18"/>
                <w:lang w:val="en-US"/>
              </w:rPr>
            </w:pPr>
            <w:r w:rsidRPr="00272FC0">
              <w:rPr>
                <w:sz w:val="18"/>
                <w:szCs w:val="18"/>
                <w:lang w:val="en-US"/>
              </w:rPr>
              <w:t>SOFC</w:t>
            </w:r>
          </w:p>
        </w:tc>
        <w:tc>
          <w:tcPr>
            <w:tcW w:w="1418" w:type="dxa"/>
            <w:tcBorders>
              <w:bottom w:val="single" w:sz="4" w:space="0" w:color="auto"/>
            </w:tcBorders>
          </w:tcPr>
          <w:p w:rsidR="008A23A8" w:rsidRPr="00272FC0" w:rsidRDefault="00D713AE" w:rsidP="003066A0">
            <w:pPr>
              <w:pStyle w:val="Default"/>
              <w:widowControl w:val="0"/>
              <w:jc w:val="center"/>
              <w:rPr>
                <w:sz w:val="18"/>
                <w:szCs w:val="18"/>
                <w:lang w:val="en-US"/>
              </w:rPr>
            </w:pPr>
            <w:r w:rsidRPr="00272FC0">
              <w:rPr>
                <w:sz w:val="18"/>
                <w:szCs w:val="18"/>
                <w:lang w:val="en-US"/>
              </w:rPr>
              <w:t>PAFC</w:t>
            </w:r>
          </w:p>
        </w:tc>
        <w:tc>
          <w:tcPr>
            <w:tcW w:w="1558" w:type="dxa"/>
            <w:tcBorders>
              <w:bottom w:val="single" w:sz="4" w:space="0" w:color="auto"/>
            </w:tcBorders>
          </w:tcPr>
          <w:p w:rsidR="008A23A8" w:rsidRPr="00272FC0" w:rsidRDefault="00D713AE" w:rsidP="003066A0">
            <w:pPr>
              <w:pStyle w:val="Default"/>
              <w:widowControl w:val="0"/>
              <w:jc w:val="center"/>
              <w:rPr>
                <w:sz w:val="18"/>
                <w:szCs w:val="18"/>
                <w:lang w:val="en-US"/>
              </w:rPr>
            </w:pPr>
            <w:r w:rsidRPr="00272FC0">
              <w:rPr>
                <w:sz w:val="18"/>
                <w:szCs w:val="18"/>
                <w:lang w:val="en-US"/>
              </w:rPr>
              <w:t>AFC</w:t>
            </w:r>
          </w:p>
        </w:tc>
      </w:tr>
      <w:tr w:rsidR="008A23A8" w:rsidRPr="00272FC0" w:rsidTr="00272FC0">
        <w:tc>
          <w:tcPr>
            <w:tcW w:w="2802" w:type="dxa"/>
            <w:tcBorders>
              <w:top w:val="single" w:sz="4" w:space="0" w:color="auto"/>
              <w:bottom w:val="nil"/>
            </w:tcBorders>
          </w:tcPr>
          <w:p w:rsidR="008A23A8" w:rsidRPr="00272FC0" w:rsidRDefault="008A23A8" w:rsidP="003066A0">
            <w:pPr>
              <w:pStyle w:val="Default"/>
              <w:widowControl w:val="0"/>
              <w:ind w:right="-108"/>
              <w:rPr>
                <w:sz w:val="18"/>
                <w:szCs w:val="18"/>
                <w:lang w:val="en-US"/>
              </w:rPr>
            </w:pPr>
            <w:r w:rsidRPr="00272FC0">
              <w:rPr>
                <w:sz w:val="18"/>
                <w:szCs w:val="18"/>
                <w:lang w:val="en-US"/>
              </w:rPr>
              <w:t>operating voltage, V</w:t>
            </w:r>
          </w:p>
        </w:tc>
        <w:tc>
          <w:tcPr>
            <w:tcW w:w="1417" w:type="dxa"/>
            <w:tcBorders>
              <w:top w:val="single" w:sz="4" w:space="0" w:color="auto"/>
              <w:bottom w:val="nil"/>
            </w:tcBorders>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0.59 – 0.73</w:t>
            </w:r>
          </w:p>
        </w:tc>
        <w:tc>
          <w:tcPr>
            <w:tcW w:w="1418" w:type="dxa"/>
            <w:tcBorders>
              <w:top w:val="single" w:sz="4" w:space="0" w:color="auto"/>
              <w:bottom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0.63 – 0.75 </w:t>
            </w:r>
          </w:p>
        </w:tc>
        <w:tc>
          <w:tcPr>
            <w:tcW w:w="1418" w:type="dxa"/>
            <w:tcBorders>
              <w:top w:val="single" w:sz="4" w:space="0" w:color="auto"/>
              <w:bottom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0.64 – 0.72</w:t>
            </w:r>
          </w:p>
        </w:tc>
        <w:tc>
          <w:tcPr>
            <w:tcW w:w="1558" w:type="dxa"/>
            <w:tcBorders>
              <w:top w:val="single" w:sz="4" w:space="0" w:color="auto"/>
              <w:bottom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0.64 – 0.82</w:t>
            </w:r>
          </w:p>
        </w:tc>
      </w:tr>
      <w:tr w:rsidR="008A23A8" w:rsidRPr="00272FC0" w:rsidTr="00272FC0">
        <w:tc>
          <w:tcPr>
            <w:tcW w:w="2802" w:type="dxa"/>
            <w:tcBorders>
              <w:top w:val="nil"/>
              <w:bottom w:val="nil"/>
            </w:tcBorders>
          </w:tcPr>
          <w:p w:rsidR="008A23A8" w:rsidRPr="00272FC0" w:rsidRDefault="008A23A8" w:rsidP="003066A0">
            <w:pPr>
              <w:pStyle w:val="Default"/>
              <w:widowControl w:val="0"/>
              <w:ind w:right="-108"/>
              <w:rPr>
                <w:sz w:val="18"/>
                <w:szCs w:val="18"/>
                <w:lang w:val="en-US"/>
              </w:rPr>
            </w:pPr>
            <w:r w:rsidRPr="00272FC0">
              <w:rPr>
                <w:sz w:val="18"/>
                <w:szCs w:val="18"/>
                <w:lang w:val="en-US"/>
              </w:rPr>
              <w:t>operating current density, A/cm</w:t>
            </w:r>
            <w:r w:rsidRPr="00272FC0">
              <w:rPr>
                <w:sz w:val="18"/>
                <w:szCs w:val="18"/>
                <w:vertAlign w:val="superscript"/>
                <w:lang w:val="en-US"/>
              </w:rPr>
              <w:t>2</w:t>
            </w:r>
          </w:p>
        </w:tc>
        <w:tc>
          <w:tcPr>
            <w:tcW w:w="1417" w:type="dxa"/>
            <w:tcBorders>
              <w:top w:val="nil"/>
              <w:bottom w:val="nil"/>
            </w:tcBorders>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0.40 – 0.90</w:t>
            </w:r>
          </w:p>
        </w:tc>
        <w:tc>
          <w:tcPr>
            <w:tcW w:w="1418" w:type="dxa"/>
            <w:tcBorders>
              <w:top w:val="nil"/>
              <w:bottom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0.32 – 0.67</w:t>
            </w:r>
          </w:p>
        </w:tc>
        <w:tc>
          <w:tcPr>
            <w:tcW w:w="1418" w:type="dxa"/>
            <w:tcBorders>
              <w:top w:val="nil"/>
              <w:bottom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0.16 – 0.31</w:t>
            </w:r>
          </w:p>
        </w:tc>
        <w:tc>
          <w:tcPr>
            <w:tcW w:w="1558" w:type="dxa"/>
            <w:tcBorders>
              <w:top w:val="nil"/>
              <w:bottom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0.09 – 0.24</w:t>
            </w:r>
          </w:p>
        </w:tc>
      </w:tr>
      <w:tr w:rsidR="008A23A8" w:rsidRPr="00272FC0" w:rsidTr="00272FC0">
        <w:tc>
          <w:tcPr>
            <w:tcW w:w="2802" w:type="dxa"/>
            <w:tcBorders>
              <w:top w:val="nil"/>
            </w:tcBorders>
          </w:tcPr>
          <w:p w:rsidR="008A23A8" w:rsidRPr="00272FC0" w:rsidRDefault="008A23A8" w:rsidP="003066A0">
            <w:pPr>
              <w:pStyle w:val="Default"/>
              <w:widowControl w:val="0"/>
              <w:ind w:right="-108"/>
              <w:rPr>
                <w:sz w:val="18"/>
                <w:szCs w:val="18"/>
                <w:lang w:val="en-US"/>
              </w:rPr>
            </w:pPr>
            <w:r w:rsidRPr="00272FC0">
              <w:rPr>
                <w:sz w:val="18"/>
                <w:szCs w:val="18"/>
                <w:lang w:val="en-US"/>
              </w:rPr>
              <w:t>power density, W/cm</w:t>
            </w:r>
            <w:r w:rsidRPr="00272FC0">
              <w:rPr>
                <w:sz w:val="18"/>
                <w:szCs w:val="18"/>
                <w:vertAlign w:val="superscript"/>
                <w:lang w:val="en-US"/>
              </w:rPr>
              <w:t>2</w:t>
            </w:r>
          </w:p>
        </w:tc>
        <w:tc>
          <w:tcPr>
            <w:tcW w:w="1417" w:type="dxa"/>
            <w:tcBorders>
              <w:top w:val="nil"/>
            </w:tcBorders>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0.27 – 0.56</w:t>
            </w:r>
          </w:p>
        </w:tc>
        <w:tc>
          <w:tcPr>
            <w:tcW w:w="1418" w:type="dxa"/>
            <w:tcBorders>
              <w:top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0.22 – 0.46</w:t>
            </w:r>
          </w:p>
        </w:tc>
        <w:tc>
          <w:tcPr>
            <w:tcW w:w="1418" w:type="dxa"/>
            <w:tcBorders>
              <w:top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0.11 – 0.21</w:t>
            </w:r>
          </w:p>
        </w:tc>
        <w:tc>
          <w:tcPr>
            <w:tcW w:w="1558" w:type="dxa"/>
            <w:tcBorders>
              <w:top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0.06 – 0.18</w:t>
            </w:r>
          </w:p>
        </w:tc>
      </w:tr>
      <w:tr w:rsidR="008A23A8" w:rsidRPr="00272FC0" w:rsidTr="00272FC0">
        <w:tc>
          <w:tcPr>
            <w:tcW w:w="2802" w:type="dxa"/>
          </w:tcPr>
          <w:p w:rsidR="008A23A8" w:rsidRPr="00272FC0" w:rsidRDefault="004C3DAB" w:rsidP="003066A0">
            <w:pPr>
              <w:pStyle w:val="Default"/>
              <w:widowControl w:val="0"/>
              <w:ind w:right="-108"/>
              <w:rPr>
                <w:sz w:val="18"/>
                <w:szCs w:val="18"/>
                <w:lang w:val="en-US"/>
              </w:rPr>
            </w:pPr>
            <w:r w:rsidRPr="00272FC0">
              <w:rPr>
                <w:sz w:val="18"/>
                <w:szCs w:val="18"/>
                <w:lang w:val="en-US"/>
              </w:rPr>
              <w:t>stack efficiency, % HHV</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36.5 – 50.0</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42.0 – 64.5</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40.5 – 54.5</w:t>
            </w:r>
          </w:p>
        </w:tc>
        <w:tc>
          <w:tcPr>
            <w:tcW w:w="155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42.5 – 49.5</w:t>
            </w:r>
          </w:p>
        </w:tc>
      </w:tr>
      <w:tr w:rsidR="008A23A8" w:rsidRPr="00272FC0" w:rsidTr="00272FC0">
        <w:tc>
          <w:tcPr>
            <w:tcW w:w="2802" w:type="dxa"/>
          </w:tcPr>
          <w:p w:rsidR="008A23A8" w:rsidRPr="00272FC0" w:rsidRDefault="004C3DAB" w:rsidP="003066A0">
            <w:pPr>
              <w:pStyle w:val="Default"/>
              <w:widowControl w:val="0"/>
              <w:ind w:right="-108"/>
              <w:rPr>
                <w:sz w:val="18"/>
                <w:szCs w:val="18"/>
                <w:lang w:val="en-US"/>
              </w:rPr>
            </w:pPr>
            <w:r w:rsidRPr="00272FC0">
              <w:rPr>
                <w:sz w:val="18"/>
                <w:szCs w:val="18"/>
                <w:lang w:val="en-US"/>
              </w:rPr>
              <w:t>system efficiency, % HHV</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23.0 – 31.5</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27.0 – 41.5 </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26.0 – 35.0</w:t>
            </w:r>
          </w:p>
        </w:tc>
        <w:tc>
          <w:tcPr>
            <w:tcW w:w="155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 xml:space="preserve">27.0 – 32.0 </w:t>
            </w:r>
          </w:p>
        </w:tc>
      </w:tr>
      <w:tr w:rsidR="008A23A8" w:rsidRPr="00272FC0" w:rsidTr="00272FC0">
        <w:tc>
          <w:tcPr>
            <w:tcW w:w="2802" w:type="dxa"/>
          </w:tcPr>
          <w:p w:rsidR="008A23A8" w:rsidRPr="00272FC0" w:rsidRDefault="004C3DAB" w:rsidP="003066A0">
            <w:pPr>
              <w:pStyle w:val="Default"/>
              <w:widowControl w:val="0"/>
              <w:ind w:right="-108"/>
              <w:rPr>
                <w:sz w:val="18"/>
                <w:szCs w:val="18"/>
                <w:lang w:val="en-US"/>
              </w:rPr>
            </w:pPr>
            <w:r w:rsidRPr="00272FC0">
              <w:rPr>
                <w:sz w:val="18"/>
                <w:szCs w:val="18"/>
                <w:lang w:val="en-US"/>
              </w:rPr>
              <w:t>total efficiency, % HHV</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63.5 – 81.5</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67.0 – 71.0 </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74.0 – 87.0</w:t>
            </w:r>
          </w:p>
        </w:tc>
        <w:tc>
          <w:tcPr>
            <w:tcW w:w="1558" w:type="dxa"/>
          </w:tcPr>
          <w:p w:rsidR="008A23A8" w:rsidRPr="00272FC0" w:rsidRDefault="001C58EC" w:rsidP="003066A0">
            <w:pPr>
              <w:pStyle w:val="Default"/>
              <w:widowControl w:val="0"/>
              <w:ind w:left="-534" w:right="175"/>
              <w:jc w:val="right"/>
              <w:rPr>
                <w:sz w:val="18"/>
                <w:szCs w:val="18"/>
                <w:lang w:val="en-US"/>
              </w:rPr>
            </w:pPr>
            <w:r w:rsidRPr="00272FC0">
              <w:rPr>
                <w:sz w:val="18"/>
                <w:szCs w:val="18"/>
                <w:lang w:val="en-US"/>
              </w:rPr>
              <w:t xml:space="preserve">~ </w:t>
            </w:r>
            <w:r w:rsidR="00D713AE" w:rsidRPr="00272FC0">
              <w:rPr>
                <w:sz w:val="18"/>
                <w:szCs w:val="18"/>
                <w:lang w:val="en-US"/>
              </w:rPr>
              <w:t>87</w:t>
            </w:r>
            <w:r w:rsidRPr="00272FC0">
              <w:rPr>
                <w:sz w:val="18"/>
                <w:szCs w:val="18"/>
                <w:lang w:val="en-US"/>
              </w:rPr>
              <w:t>.0</w:t>
            </w:r>
          </w:p>
        </w:tc>
      </w:tr>
      <w:tr w:rsidR="008A23A8" w:rsidRPr="00272FC0" w:rsidTr="00272FC0">
        <w:tc>
          <w:tcPr>
            <w:tcW w:w="2802" w:type="dxa"/>
          </w:tcPr>
          <w:p w:rsidR="008A23A8" w:rsidRPr="00272FC0" w:rsidRDefault="004C3DAB" w:rsidP="003066A0">
            <w:pPr>
              <w:pStyle w:val="Default"/>
              <w:widowControl w:val="0"/>
              <w:ind w:right="-108"/>
              <w:rPr>
                <w:sz w:val="18"/>
                <w:szCs w:val="18"/>
                <w:lang w:val="en-US"/>
              </w:rPr>
            </w:pPr>
            <w:r w:rsidRPr="00272FC0">
              <w:rPr>
                <w:sz w:val="18"/>
                <w:szCs w:val="18"/>
                <w:lang w:val="en-US"/>
              </w:rPr>
              <w:t>lifetime, kh</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 xml:space="preserve">7 – 21 </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15 – 59 </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 xml:space="preserve">30 – 53 </w:t>
            </w:r>
          </w:p>
        </w:tc>
        <w:tc>
          <w:tcPr>
            <w:tcW w:w="155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 xml:space="preserve">4 – 8 </w:t>
            </w:r>
          </w:p>
        </w:tc>
      </w:tr>
      <w:tr w:rsidR="008A23A8" w:rsidRPr="00272FC0" w:rsidTr="00272FC0">
        <w:tc>
          <w:tcPr>
            <w:tcW w:w="2802" w:type="dxa"/>
          </w:tcPr>
          <w:p w:rsidR="008A23A8" w:rsidRPr="00272FC0" w:rsidRDefault="003B5E57" w:rsidP="003066A0">
            <w:pPr>
              <w:pStyle w:val="Default"/>
              <w:widowControl w:val="0"/>
              <w:ind w:right="-108" w:firstLine="567"/>
              <w:rPr>
                <w:sz w:val="18"/>
                <w:szCs w:val="18"/>
                <w:lang w:val="en-US"/>
              </w:rPr>
            </w:pPr>
            <w:r w:rsidRPr="00272FC0">
              <w:rPr>
                <w:sz w:val="18"/>
                <w:szCs w:val="18"/>
                <w:lang w:val="en-US"/>
              </w:rPr>
              <w:t xml:space="preserve"> </w:t>
            </w:r>
            <w:r w:rsidR="004C3DAB" w:rsidRPr="00272FC0">
              <w:rPr>
                <w:sz w:val="18"/>
                <w:szCs w:val="18"/>
                <w:lang w:val="en-US"/>
              </w:rPr>
              <w:t>, years</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 xml:space="preserve">0.7 – 2.4 </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1.7 – 6.7 </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3.5 – 6.1</w:t>
            </w:r>
          </w:p>
        </w:tc>
        <w:tc>
          <w:tcPr>
            <w:tcW w:w="155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0.5 – 0.9</w:t>
            </w:r>
          </w:p>
        </w:tc>
      </w:tr>
      <w:tr w:rsidR="008A23A8" w:rsidRPr="00272FC0" w:rsidTr="00272FC0">
        <w:tc>
          <w:tcPr>
            <w:tcW w:w="2802" w:type="dxa"/>
          </w:tcPr>
          <w:p w:rsidR="008A23A8" w:rsidRPr="00272FC0" w:rsidRDefault="004C3DAB" w:rsidP="003066A0">
            <w:pPr>
              <w:pStyle w:val="Default"/>
              <w:widowControl w:val="0"/>
              <w:ind w:right="-108"/>
              <w:rPr>
                <w:sz w:val="18"/>
                <w:szCs w:val="18"/>
                <w:lang w:val="en-US"/>
              </w:rPr>
            </w:pPr>
            <w:r w:rsidRPr="00272FC0">
              <w:rPr>
                <w:sz w:val="18"/>
                <w:szCs w:val="18"/>
                <w:lang w:val="en-US"/>
              </w:rPr>
              <w:lastRenderedPageBreak/>
              <w:t>degradation, mV/year</w:t>
            </w:r>
          </w:p>
        </w:tc>
        <w:tc>
          <w:tcPr>
            <w:tcW w:w="1417" w:type="dxa"/>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13.1 – 74.5</w:t>
            </w:r>
          </w:p>
        </w:tc>
        <w:tc>
          <w:tcPr>
            <w:tcW w:w="1418" w:type="dxa"/>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28.0 – 73.6 </w:t>
            </w:r>
          </w:p>
        </w:tc>
        <w:tc>
          <w:tcPr>
            <w:tcW w:w="1418" w:type="dxa"/>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14.9 – 39.4</w:t>
            </w:r>
          </w:p>
        </w:tc>
        <w:tc>
          <w:tcPr>
            <w:tcW w:w="1558" w:type="dxa"/>
          </w:tcPr>
          <w:p w:rsidR="008A23A8" w:rsidRPr="00272FC0" w:rsidRDefault="003B5E57" w:rsidP="003066A0">
            <w:pPr>
              <w:pStyle w:val="Default"/>
              <w:widowControl w:val="0"/>
              <w:ind w:left="-534" w:right="175"/>
              <w:jc w:val="right"/>
              <w:rPr>
                <w:sz w:val="18"/>
                <w:szCs w:val="18"/>
                <w:lang w:val="en-US"/>
              </w:rPr>
            </w:pPr>
            <w:r w:rsidRPr="00272FC0">
              <w:rPr>
                <w:sz w:val="18"/>
                <w:szCs w:val="18"/>
                <w:lang w:val="en-US"/>
              </w:rPr>
              <w:t>78.8 – 254.0</w:t>
            </w:r>
          </w:p>
        </w:tc>
      </w:tr>
      <w:tr w:rsidR="008A23A8" w:rsidRPr="00272FC0" w:rsidTr="00272FC0">
        <w:tc>
          <w:tcPr>
            <w:tcW w:w="2802" w:type="dxa"/>
            <w:tcBorders>
              <w:bottom w:val="single" w:sz="4" w:space="0" w:color="auto"/>
            </w:tcBorders>
          </w:tcPr>
          <w:p w:rsidR="008A23A8" w:rsidRPr="00272FC0" w:rsidRDefault="003B5E57" w:rsidP="003066A0">
            <w:pPr>
              <w:pStyle w:val="Default"/>
              <w:widowControl w:val="0"/>
              <w:ind w:right="-108" w:firstLine="993"/>
              <w:rPr>
                <w:sz w:val="18"/>
                <w:szCs w:val="18"/>
                <w:lang w:val="en-US"/>
              </w:rPr>
            </w:pPr>
            <w:r w:rsidRPr="00272FC0">
              <w:rPr>
                <w:sz w:val="18"/>
                <w:szCs w:val="18"/>
                <w:lang w:val="en-US"/>
              </w:rPr>
              <w:t xml:space="preserve">, </w:t>
            </w:r>
            <w:r w:rsidR="004C3DAB" w:rsidRPr="00272FC0">
              <w:rPr>
                <w:sz w:val="18"/>
                <w:szCs w:val="18"/>
                <w:lang w:val="en-US"/>
              </w:rPr>
              <w:t>%/year</w:t>
            </w:r>
          </w:p>
        </w:tc>
        <w:tc>
          <w:tcPr>
            <w:tcW w:w="1417" w:type="dxa"/>
            <w:tcBorders>
              <w:bottom w:val="single" w:sz="4" w:space="0" w:color="auto"/>
            </w:tcBorders>
          </w:tcPr>
          <w:p w:rsidR="008A23A8" w:rsidRPr="00272FC0" w:rsidRDefault="00C45830" w:rsidP="003066A0">
            <w:pPr>
              <w:pStyle w:val="Default"/>
              <w:widowControl w:val="0"/>
              <w:ind w:left="-534" w:right="175"/>
              <w:jc w:val="right"/>
              <w:rPr>
                <w:sz w:val="18"/>
                <w:szCs w:val="18"/>
                <w:lang w:val="en-US"/>
              </w:rPr>
            </w:pPr>
            <w:r w:rsidRPr="00272FC0">
              <w:rPr>
                <w:sz w:val="18"/>
                <w:szCs w:val="18"/>
                <w:lang w:val="en-US"/>
              </w:rPr>
              <w:t xml:space="preserve">2 – 11 </w:t>
            </w:r>
          </w:p>
        </w:tc>
        <w:tc>
          <w:tcPr>
            <w:tcW w:w="1418" w:type="dxa"/>
            <w:tcBorders>
              <w:bottom w:val="single" w:sz="4" w:space="0" w:color="auto"/>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4 – 10 </w:t>
            </w:r>
          </w:p>
        </w:tc>
        <w:tc>
          <w:tcPr>
            <w:tcW w:w="1418" w:type="dxa"/>
            <w:tcBorders>
              <w:bottom w:val="single" w:sz="4" w:space="0" w:color="auto"/>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 xml:space="preserve">2 – 6 </w:t>
            </w:r>
          </w:p>
        </w:tc>
        <w:tc>
          <w:tcPr>
            <w:tcW w:w="1558" w:type="dxa"/>
            <w:tcBorders>
              <w:bottom w:val="single" w:sz="4" w:space="0" w:color="auto"/>
            </w:tcBorders>
          </w:tcPr>
          <w:p w:rsidR="008A23A8" w:rsidRPr="00272FC0" w:rsidRDefault="003B5E57" w:rsidP="003066A0">
            <w:pPr>
              <w:pStyle w:val="Default"/>
              <w:widowControl w:val="0"/>
              <w:ind w:left="-534" w:right="175"/>
              <w:jc w:val="right"/>
              <w:rPr>
                <w:sz w:val="18"/>
                <w:szCs w:val="18"/>
                <w:lang w:val="en-US"/>
              </w:rPr>
            </w:pPr>
            <w:r w:rsidRPr="00272FC0">
              <w:rPr>
                <w:sz w:val="18"/>
                <w:szCs w:val="18"/>
                <w:lang w:val="en-US"/>
              </w:rPr>
              <w:t xml:space="preserve">11 – 35 </w:t>
            </w:r>
          </w:p>
        </w:tc>
      </w:tr>
      <w:tr w:rsidR="008A23A8" w:rsidRPr="00272FC0" w:rsidTr="00272FC0">
        <w:tc>
          <w:tcPr>
            <w:tcW w:w="2802" w:type="dxa"/>
            <w:tcBorders>
              <w:top w:val="single" w:sz="4" w:space="0" w:color="auto"/>
              <w:bottom w:val="nil"/>
            </w:tcBorders>
          </w:tcPr>
          <w:p w:rsidR="008A23A8" w:rsidRPr="00272FC0" w:rsidRDefault="00C45830" w:rsidP="003066A0">
            <w:pPr>
              <w:pStyle w:val="Default"/>
              <w:widowControl w:val="0"/>
              <w:ind w:right="-108"/>
              <w:rPr>
                <w:sz w:val="18"/>
                <w:szCs w:val="18"/>
                <w:lang w:val="en-US"/>
              </w:rPr>
            </w:pPr>
            <w:r w:rsidRPr="00272FC0">
              <w:rPr>
                <w:sz w:val="18"/>
                <w:szCs w:val="18"/>
                <w:lang w:val="en-US"/>
              </w:rPr>
              <w:t xml:space="preserve">stack </w:t>
            </w:r>
            <w:r w:rsidR="004C3DAB" w:rsidRPr="00272FC0">
              <w:rPr>
                <w:sz w:val="18"/>
                <w:szCs w:val="18"/>
                <w:lang w:val="en-US"/>
              </w:rPr>
              <w:t>cost</w:t>
            </w:r>
            <w:r w:rsidRPr="00272FC0">
              <w:rPr>
                <w:sz w:val="18"/>
                <w:szCs w:val="18"/>
                <w:lang w:val="en-US"/>
              </w:rPr>
              <w:t>, €/kW</w:t>
            </w:r>
            <w:r w:rsidR="00A3514A" w:rsidRPr="00272FC0">
              <w:rPr>
                <w:sz w:val="18"/>
                <w:szCs w:val="18"/>
                <w:vertAlign w:val="subscript"/>
                <w:lang w:val="en-US"/>
              </w:rPr>
              <w:t>e</w:t>
            </w:r>
          </w:p>
        </w:tc>
        <w:tc>
          <w:tcPr>
            <w:tcW w:w="1417" w:type="dxa"/>
            <w:tcBorders>
              <w:top w:val="single" w:sz="4" w:space="0" w:color="auto"/>
              <w:bottom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300 – 900 </w:t>
            </w:r>
          </w:p>
        </w:tc>
        <w:tc>
          <w:tcPr>
            <w:tcW w:w="1418" w:type="dxa"/>
            <w:tcBorders>
              <w:top w:val="single" w:sz="4" w:space="0" w:color="auto"/>
              <w:bottom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200 – 600</w:t>
            </w:r>
          </w:p>
        </w:tc>
        <w:tc>
          <w:tcPr>
            <w:tcW w:w="1418" w:type="dxa"/>
            <w:tcBorders>
              <w:top w:val="single" w:sz="4" w:space="0" w:color="auto"/>
              <w:bottom w:val="nil"/>
            </w:tcBorders>
          </w:tcPr>
          <w:p w:rsidR="008A23A8" w:rsidRPr="00272FC0" w:rsidRDefault="008A23A8" w:rsidP="003066A0">
            <w:pPr>
              <w:pStyle w:val="Default"/>
              <w:widowControl w:val="0"/>
              <w:ind w:left="-534" w:right="175"/>
              <w:jc w:val="right"/>
              <w:rPr>
                <w:sz w:val="18"/>
                <w:szCs w:val="18"/>
                <w:lang w:val="en-US"/>
              </w:rPr>
            </w:pPr>
          </w:p>
        </w:tc>
        <w:tc>
          <w:tcPr>
            <w:tcW w:w="1558" w:type="dxa"/>
            <w:tcBorders>
              <w:top w:val="single" w:sz="4" w:space="0" w:color="auto"/>
              <w:bottom w:val="nil"/>
            </w:tcBorders>
          </w:tcPr>
          <w:p w:rsidR="008A23A8" w:rsidRPr="00272FC0" w:rsidRDefault="003B5E57" w:rsidP="003066A0">
            <w:pPr>
              <w:pStyle w:val="Default"/>
              <w:widowControl w:val="0"/>
              <w:ind w:left="-534" w:right="175"/>
              <w:jc w:val="right"/>
              <w:rPr>
                <w:sz w:val="18"/>
                <w:szCs w:val="18"/>
                <w:lang w:val="en-US"/>
              </w:rPr>
            </w:pPr>
            <w:r w:rsidRPr="00272FC0">
              <w:rPr>
                <w:sz w:val="18"/>
                <w:szCs w:val="18"/>
                <w:lang w:val="en-US"/>
              </w:rPr>
              <w:t xml:space="preserve">150 – 600 </w:t>
            </w:r>
          </w:p>
        </w:tc>
      </w:tr>
      <w:tr w:rsidR="008A23A8" w:rsidRPr="00272FC0" w:rsidTr="00272FC0">
        <w:tc>
          <w:tcPr>
            <w:tcW w:w="2802" w:type="dxa"/>
            <w:tcBorders>
              <w:top w:val="nil"/>
            </w:tcBorders>
          </w:tcPr>
          <w:p w:rsidR="008A23A8" w:rsidRPr="00272FC0" w:rsidRDefault="00C45830" w:rsidP="003066A0">
            <w:pPr>
              <w:pStyle w:val="Default"/>
              <w:widowControl w:val="0"/>
              <w:ind w:right="-108"/>
              <w:rPr>
                <w:sz w:val="18"/>
                <w:szCs w:val="18"/>
                <w:lang w:val="en-US"/>
              </w:rPr>
            </w:pPr>
            <w:r w:rsidRPr="00272FC0">
              <w:rPr>
                <w:sz w:val="18"/>
                <w:szCs w:val="18"/>
                <w:lang w:val="en-US"/>
              </w:rPr>
              <w:t>system cost, €/kW</w:t>
            </w:r>
            <w:r w:rsidR="00A3514A" w:rsidRPr="00272FC0">
              <w:rPr>
                <w:sz w:val="18"/>
                <w:szCs w:val="18"/>
                <w:vertAlign w:val="subscript"/>
                <w:lang w:val="en-US"/>
              </w:rPr>
              <w:t>e</w:t>
            </w:r>
          </w:p>
        </w:tc>
        <w:tc>
          <w:tcPr>
            <w:tcW w:w="1417" w:type="dxa"/>
            <w:tcBorders>
              <w:top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530 – 1130 </w:t>
            </w:r>
          </w:p>
        </w:tc>
        <w:tc>
          <w:tcPr>
            <w:tcW w:w="1418" w:type="dxa"/>
            <w:tcBorders>
              <w:top w:val="nil"/>
            </w:tcBorders>
          </w:tcPr>
          <w:p w:rsidR="008A23A8" w:rsidRPr="00272FC0" w:rsidRDefault="00DC4746" w:rsidP="003066A0">
            <w:pPr>
              <w:pStyle w:val="Default"/>
              <w:widowControl w:val="0"/>
              <w:ind w:left="-534" w:right="175"/>
              <w:jc w:val="right"/>
              <w:rPr>
                <w:sz w:val="18"/>
                <w:szCs w:val="18"/>
                <w:lang w:val="en-US"/>
              </w:rPr>
            </w:pPr>
            <w:r w:rsidRPr="00272FC0">
              <w:rPr>
                <w:sz w:val="18"/>
                <w:szCs w:val="18"/>
                <w:lang w:val="en-US"/>
              </w:rPr>
              <w:t xml:space="preserve">680 – 1080 </w:t>
            </w:r>
          </w:p>
        </w:tc>
        <w:tc>
          <w:tcPr>
            <w:tcW w:w="1418" w:type="dxa"/>
            <w:tcBorders>
              <w:top w:val="nil"/>
            </w:tcBorders>
          </w:tcPr>
          <w:p w:rsidR="008A23A8" w:rsidRPr="00272FC0" w:rsidRDefault="00D713AE" w:rsidP="003066A0">
            <w:pPr>
              <w:pStyle w:val="Default"/>
              <w:widowControl w:val="0"/>
              <w:ind w:left="-534" w:right="175"/>
              <w:jc w:val="right"/>
              <w:rPr>
                <w:sz w:val="18"/>
                <w:szCs w:val="18"/>
                <w:lang w:val="en-US"/>
              </w:rPr>
            </w:pPr>
            <w:r w:rsidRPr="00272FC0">
              <w:rPr>
                <w:sz w:val="18"/>
                <w:szCs w:val="18"/>
                <w:lang w:val="en-US"/>
              </w:rPr>
              <w:t>2500 – 5000</w:t>
            </w:r>
          </w:p>
        </w:tc>
        <w:tc>
          <w:tcPr>
            <w:tcW w:w="1558" w:type="dxa"/>
            <w:tcBorders>
              <w:top w:val="nil"/>
            </w:tcBorders>
          </w:tcPr>
          <w:p w:rsidR="008A23A8" w:rsidRPr="00272FC0" w:rsidRDefault="003B5E57" w:rsidP="003066A0">
            <w:pPr>
              <w:pStyle w:val="Default"/>
              <w:widowControl w:val="0"/>
              <w:ind w:left="-534" w:right="175"/>
              <w:jc w:val="right"/>
              <w:rPr>
                <w:sz w:val="18"/>
                <w:szCs w:val="18"/>
                <w:lang w:val="en-US"/>
              </w:rPr>
            </w:pPr>
            <w:r w:rsidRPr="00272FC0">
              <w:rPr>
                <w:sz w:val="18"/>
                <w:szCs w:val="18"/>
                <w:lang w:val="en-US"/>
              </w:rPr>
              <w:t xml:space="preserve">375 – 825 </w:t>
            </w:r>
          </w:p>
        </w:tc>
      </w:tr>
    </w:tbl>
    <w:p w:rsidR="001F091A" w:rsidRDefault="001F091A" w:rsidP="001F091A">
      <w:pPr>
        <w:pStyle w:val="Default"/>
        <w:widowControl w:val="0"/>
        <w:jc w:val="both"/>
        <w:rPr>
          <w:sz w:val="20"/>
          <w:szCs w:val="20"/>
          <w:lang w:val="en-US"/>
        </w:rPr>
      </w:pPr>
    </w:p>
    <w:p w:rsidR="001F091A" w:rsidRPr="002647F4" w:rsidRDefault="001F091A" w:rsidP="008B7354">
      <w:pPr>
        <w:pStyle w:val="Default"/>
        <w:widowControl w:val="0"/>
        <w:ind w:firstLine="426"/>
        <w:jc w:val="both"/>
        <w:rPr>
          <w:color w:val="000000" w:themeColor="text1"/>
          <w:sz w:val="20"/>
          <w:szCs w:val="20"/>
          <w:lang w:val="en-US"/>
        </w:rPr>
      </w:pPr>
      <w:r w:rsidRPr="008F23CC">
        <w:rPr>
          <w:sz w:val="20"/>
          <w:szCs w:val="20"/>
          <w:lang w:val="en-US"/>
        </w:rPr>
        <w:t>The current technological status of small (0.5 – 5 kW</w:t>
      </w:r>
      <w:r w:rsidRPr="008F23CC">
        <w:rPr>
          <w:sz w:val="20"/>
          <w:szCs w:val="20"/>
          <w:vertAlign w:val="subscript"/>
          <w:lang w:val="en-US"/>
        </w:rPr>
        <w:t>e</w:t>
      </w:r>
      <w:r w:rsidRPr="008F23CC">
        <w:rPr>
          <w:sz w:val="20"/>
          <w:szCs w:val="20"/>
          <w:lang w:val="en-US"/>
        </w:rPr>
        <w:t xml:space="preserve">) PEM, SOFC, AFC and PAFC fuel cell stationary units, was recently reviewed by I. Staffell (Table 8). The system efficiency refers to electrical losses of the fuel cell system (fans, pumps, control) and the current conditioning unit (transformer, inverter), while total efficiency refers to both electrical power and heat cogeneration. Cost estimations, at the last lines of Table 8, refer to mass produced fuel cell systems according to today’s state of the art manufacture technologies and materials, </w:t>
      </w:r>
      <w:r w:rsidRPr="002647F4">
        <w:rPr>
          <w:color w:val="000000" w:themeColor="text1"/>
          <w:sz w:val="20"/>
          <w:szCs w:val="20"/>
          <w:lang w:val="en-US"/>
        </w:rPr>
        <w:t>while current retail prices of demonstration fuel cell systems are referred in the range of €10,000 – 100,000 €/ kW</w:t>
      </w:r>
      <w:r w:rsidRPr="002647F4">
        <w:rPr>
          <w:color w:val="000000" w:themeColor="text1"/>
          <w:sz w:val="20"/>
          <w:szCs w:val="20"/>
          <w:vertAlign w:val="subscript"/>
          <w:lang w:val="en-US"/>
        </w:rPr>
        <w:t>e</w:t>
      </w:r>
      <w:r w:rsidRPr="002647F4">
        <w:rPr>
          <w:color w:val="000000" w:themeColor="text1"/>
          <w:sz w:val="20"/>
          <w:szCs w:val="20"/>
          <w:lang w:val="en-US"/>
        </w:rPr>
        <w:t xml:space="preserve"> [</w:t>
      </w:r>
      <w:r w:rsidR="002647F4" w:rsidRPr="002647F4">
        <w:rPr>
          <w:color w:val="000000" w:themeColor="text1"/>
          <w:sz w:val="20"/>
          <w:szCs w:val="20"/>
          <w:lang w:val="en-US"/>
        </w:rPr>
        <w:t>35</w:t>
      </w:r>
      <w:r w:rsidRPr="002647F4">
        <w:rPr>
          <w:color w:val="000000" w:themeColor="text1"/>
          <w:sz w:val="20"/>
          <w:szCs w:val="20"/>
          <w:lang w:val="en-US"/>
        </w:rPr>
        <w:t xml:space="preserve">]. </w:t>
      </w:r>
    </w:p>
    <w:p w:rsidR="005A0509" w:rsidRPr="002647F4" w:rsidRDefault="005A0509" w:rsidP="005A0509">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p>
    <w:p w:rsidR="00314FD9" w:rsidRPr="002647F4" w:rsidRDefault="00314FD9" w:rsidP="00314FD9">
      <w:pPr>
        <w:widowControl w:val="0"/>
        <w:autoSpaceDE w:val="0"/>
        <w:autoSpaceDN w:val="0"/>
        <w:adjustRightInd w:val="0"/>
        <w:spacing w:after="0" w:line="240" w:lineRule="auto"/>
        <w:rPr>
          <w:rFonts w:ascii="Times New Roman" w:hAnsi="Times New Roman" w:cs="Times New Roman"/>
          <w:color w:val="000000" w:themeColor="text1"/>
          <w:sz w:val="20"/>
          <w:szCs w:val="20"/>
          <w:lang w:val="en-US"/>
        </w:rPr>
      </w:pPr>
      <w:r w:rsidRPr="002647F4">
        <w:rPr>
          <w:rFonts w:ascii="Times New Roman" w:hAnsi="Times New Roman" w:cs="Times New Roman"/>
          <w:b/>
          <w:color w:val="000000" w:themeColor="text1"/>
          <w:sz w:val="20"/>
          <w:szCs w:val="20"/>
          <w:lang w:val="en-US"/>
        </w:rPr>
        <w:t xml:space="preserve">Table </w:t>
      </w:r>
      <w:r w:rsidR="000153F6" w:rsidRPr="002647F4">
        <w:rPr>
          <w:rFonts w:ascii="Times New Roman" w:hAnsi="Times New Roman" w:cs="Times New Roman"/>
          <w:b/>
          <w:color w:val="000000" w:themeColor="text1"/>
          <w:sz w:val="20"/>
          <w:szCs w:val="20"/>
          <w:lang w:val="en-US"/>
        </w:rPr>
        <w:t>9</w:t>
      </w:r>
      <w:r w:rsidRPr="002647F4">
        <w:rPr>
          <w:rFonts w:ascii="Times New Roman" w:hAnsi="Times New Roman" w:cs="Times New Roman"/>
          <w:color w:val="000000" w:themeColor="text1"/>
          <w:sz w:val="20"/>
          <w:szCs w:val="20"/>
          <w:lang w:val="en-US"/>
        </w:rPr>
        <w:t xml:space="preserve"> Comparison of up to 5 kW fuel cell economics [</w:t>
      </w:r>
      <w:r w:rsidR="002647F4" w:rsidRPr="002647F4">
        <w:rPr>
          <w:rFonts w:ascii="Times New Roman" w:hAnsi="Times New Roman" w:cs="Times New Roman"/>
          <w:color w:val="000000" w:themeColor="text1"/>
          <w:sz w:val="20"/>
          <w:szCs w:val="20"/>
          <w:lang w:val="en-US"/>
        </w:rPr>
        <w:t>35</w:t>
      </w:r>
      <w:r w:rsidRPr="002647F4">
        <w:rPr>
          <w:rFonts w:ascii="Times New Roman" w:hAnsi="Times New Roman" w:cs="Times New Roman"/>
          <w:color w:val="000000" w:themeColor="text1"/>
          <w:sz w:val="20"/>
          <w:szCs w:val="20"/>
          <w:lang w:val="en-US"/>
        </w:rPr>
        <w:t>]</w:t>
      </w:r>
    </w:p>
    <w:tbl>
      <w:tblPr>
        <w:tblStyle w:val="a3"/>
        <w:tblW w:w="8614"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361"/>
        <w:gridCol w:w="1134"/>
        <w:gridCol w:w="992"/>
        <w:gridCol w:w="1276"/>
        <w:gridCol w:w="851"/>
      </w:tblGrid>
      <w:tr w:rsidR="00314FD9" w:rsidRPr="00272FC0" w:rsidTr="00272FC0">
        <w:tc>
          <w:tcPr>
            <w:tcW w:w="4361" w:type="dxa"/>
            <w:tcBorders>
              <w:bottom w:val="single" w:sz="4" w:space="0" w:color="auto"/>
            </w:tcBorders>
          </w:tcPr>
          <w:p w:rsidR="00314FD9" w:rsidRPr="00272FC0" w:rsidRDefault="00314FD9" w:rsidP="00A3331A">
            <w:pPr>
              <w:pStyle w:val="Default"/>
              <w:widowControl w:val="0"/>
              <w:ind w:right="-108"/>
              <w:rPr>
                <w:sz w:val="18"/>
                <w:szCs w:val="18"/>
                <w:lang w:val="en-US"/>
              </w:rPr>
            </w:pPr>
          </w:p>
        </w:tc>
        <w:tc>
          <w:tcPr>
            <w:tcW w:w="1134" w:type="dxa"/>
            <w:tcBorders>
              <w:bottom w:val="single" w:sz="4" w:space="0" w:color="auto"/>
            </w:tcBorders>
          </w:tcPr>
          <w:p w:rsidR="00314FD9" w:rsidRPr="00272FC0" w:rsidRDefault="00314FD9" w:rsidP="00A3331A">
            <w:pPr>
              <w:pStyle w:val="Default"/>
              <w:widowControl w:val="0"/>
              <w:jc w:val="center"/>
              <w:rPr>
                <w:sz w:val="18"/>
                <w:szCs w:val="18"/>
                <w:lang w:val="en-US"/>
              </w:rPr>
            </w:pPr>
            <w:r w:rsidRPr="00272FC0">
              <w:rPr>
                <w:sz w:val="18"/>
                <w:szCs w:val="18"/>
                <w:lang w:val="en-US"/>
              </w:rPr>
              <w:t>PEMFC</w:t>
            </w:r>
          </w:p>
        </w:tc>
        <w:tc>
          <w:tcPr>
            <w:tcW w:w="992" w:type="dxa"/>
            <w:tcBorders>
              <w:bottom w:val="single" w:sz="4" w:space="0" w:color="auto"/>
            </w:tcBorders>
          </w:tcPr>
          <w:p w:rsidR="00314FD9" w:rsidRPr="00272FC0" w:rsidRDefault="00314FD9" w:rsidP="00A3331A">
            <w:pPr>
              <w:pStyle w:val="Default"/>
              <w:widowControl w:val="0"/>
              <w:jc w:val="center"/>
              <w:rPr>
                <w:sz w:val="18"/>
                <w:szCs w:val="18"/>
                <w:lang w:val="en-US"/>
              </w:rPr>
            </w:pPr>
            <w:r w:rsidRPr="00272FC0">
              <w:rPr>
                <w:sz w:val="18"/>
                <w:szCs w:val="18"/>
                <w:lang w:val="en-US"/>
              </w:rPr>
              <w:t>SOFC</w:t>
            </w:r>
          </w:p>
        </w:tc>
        <w:tc>
          <w:tcPr>
            <w:tcW w:w="1276" w:type="dxa"/>
            <w:tcBorders>
              <w:bottom w:val="single" w:sz="4" w:space="0" w:color="auto"/>
            </w:tcBorders>
          </w:tcPr>
          <w:p w:rsidR="00314FD9" w:rsidRPr="00272FC0" w:rsidRDefault="00314FD9" w:rsidP="00A3331A">
            <w:pPr>
              <w:pStyle w:val="Default"/>
              <w:widowControl w:val="0"/>
              <w:jc w:val="center"/>
              <w:rPr>
                <w:sz w:val="18"/>
                <w:szCs w:val="18"/>
                <w:lang w:val="en-US"/>
              </w:rPr>
            </w:pPr>
            <w:r w:rsidRPr="00272FC0">
              <w:rPr>
                <w:sz w:val="18"/>
                <w:szCs w:val="18"/>
                <w:lang w:val="en-US"/>
              </w:rPr>
              <w:t>PAFC</w:t>
            </w:r>
          </w:p>
        </w:tc>
        <w:tc>
          <w:tcPr>
            <w:tcW w:w="851" w:type="dxa"/>
            <w:tcBorders>
              <w:bottom w:val="single" w:sz="4" w:space="0" w:color="auto"/>
            </w:tcBorders>
          </w:tcPr>
          <w:p w:rsidR="00314FD9" w:rsidRPr="00272FC0" w:rsidRDefault="00314FD9" w:rsidP="00A3331A">
            <w:pPr>
              <w:pStyle w:val="Default"/>
              <w:widowControl w:val="0"/>
              <w:jc w:val="center"/>
              <w:rPr>
                <w:sz w:val="18"/>
                <w:szCs w:val="18"/>
                <w:lang w:val="en-US"/>
              </w:rPr>
            </w:pPr>
            <w:r w:rsidRPr="00272FC0">
              <w:rPr>
                <w:sz w:val="18"/>
                <w:szCs w:val="18"/>
                <w:lang w:val="en-US"/>
              </w:rPr>
              <w:t>AFC</w:t>
            </w:r>
          </w:p>
        </w:tc>
      </w:tr>
      <w:tr w:rsidR="00314FD9" w:rsidRPr="00272FC0" w:rsidTr="00272FC0">
        <w:tc>
          <w:tcPr>
            <w:tcW w:w="4361" w:type="dxa"/>
            <w:tcBorders>
              <w:top w:val="single" w:sz="4" w:space="0" w:color="auto"/>
              <w:bottom w:val="nil"/>
            </w:tcBorders>
          </w:tcPr>
          <w:p w:rsidR="00314FD9" w:rsidRPr="00272FC0" w:rsidRDefault="00314FD9" w:rsidP="00A3331A">
            <w:pPr>
              <w:pStyle w:val="Default"/>
              <w:widowControl w:val="0"/>
              <w:ind w:right="-108"/>
              <w:rPr>
                <w:sz w:val="18"/>
                <w:szCs w:val="18"/>
                <w:lang w:val="en-US"/>
              </w:rPr>
            </w:pPr>
            <w:r w:rsidRPr="00272FC0">
              <w:rPr>
                <w:sz w:val="18"/>
                <w:szCs w:val="18"/>
                <w:lang w:val="en-US"/>
              </w:rPr>
              <w:t>estimated large scale production system cost, €/kW</w:t>
            </w:r>
          </w:p>
        </w:tc>
        <w:tc>
          <w:tcPr>
            <w:tcW w:w="1134" w:type="dxa"/>
            <w:tcBorders>
              <w:top w:val="single" w:sz="4" w:space="0" w:color="auto"/>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300 – 900 </w:t>
            </w:r>
          </w:p>
        </w:tc>
        <w:tc>
          <w:tcPr>
            <w:tcW w:w="992" w:type="dxa"/>
            <w:tcBorders>
              <w:top w:val="single" w:sz="4" w:space="0" w:color="auto"/>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300 – 600 </w:t>
            </w:r>
          </w:p>
        </w:tc>
        <w:tc>
          <w:tcPr>
            <w:tcW w:w="1276" w:type="dxa"/>
            <w:tcBorders>
              <w:top w:val="single" w:sz="4" w:space="0" w:color="auto"/>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2500 – 5000 </w:t>
            </w:r>
          </w:p>
        </w:tc>
        <w:tc>
          <w:tcPr>
            <w:tcW w:w="851" w:type="dxa"/>
            <w:tcBorders>
              <w:top w:val="single" w:sz="4" w:space="0" w:color="auto"/>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325 – 675 </w:t>
            </w:r>
          </w:p>
        </w:tc>
      </w:tr>
      <w:tr w:rsidR="00314FD9" w:rsidRPr="00272FC0" w:rsidTr="00272FC0">
        <w:tc>
          <w:tcPr>
            <w:tcW w:w="4361" w:type="dxa"/>
            <w:tcBorders>
              <w:top w:val="nil"/>
              <w:bottom w:val="nil"/>
            </w:tcBorders>
          </w:tcPr>
          <w:p w:rsidR="00314FD9" w:rsidRPr="00272FC0" w:rsidRDefault="00314FD9" w:rsidP="00A3331A">
            <w:pPr>
              <w:pStyle w:val="Default"/>
              <w:widowControl w:val="0"/>
              <w:ind w:right="-108"/>
              <w:rPr>
                <w:sz w:val="18"/>
                <w:szCs w:val="18"/>
                <w:lang w:val="en-US"/>
              </w:rPr>
            </w:pPr>
            <w:r w:rsidRPr="00272FC0">
              <w:rPr>
                <w:sz w:val="18"/>
                <w:szCs w:val="18"/>
                <w:lang w:val="en-US"/>
              </w:rPr>
              <w:t>target retail price, €/kW</w:t>
            </w:r>
          </w:p>
        </w:tc>
        <w:tc>
          <w:tcPr>
            <w:tcW w:w="1134"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220 – 420 </w:t>
            </w:r>
          </w:p>
        </w:tc>
        <w:tc>
          <w:tcPr>
            <w:tcW w:w="992"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510 – 970 </w:t>
            </w:r>
          </w:p>
        </w:tc>
        <w:tc>
          <w:tcPr>
            <w:tcW w:w="1276"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660 – 1100</w:t>
            </w:r>
          </w:p>
        </w:tc>
        <w:tc>
          <w:tcPr>
            <w:tcW w:w="851"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120 – 230 </w:t>
            </w:r>
          </w:p>
        </w:tc>
      </w:tr>
      <w:tr w:rsidR="00314FD9" w:rsidRPr="00272FC0" w:rsidTr="00272FC0">
        <w:tc>
          <w:tcPr>
            <w:tcW w:w="4361" w:type="dxa"/>
            <w:tcBorders>
              <w:top w:val="nil"/>
              <w:bottom w:val="nil"/>
            </w:tcBorders>
          </w:tcPr>
          <w:p w:rsidR="00314FD9" w:rsidRPr="00272FC0" w:rsidRDefault="00314FD9" w:rsidP="00A3331A">
            <w:pPr>
              <w:pStyle w:val="Default"/>
              <w:widowControl w:val="0"/>
              <w:ind w:right="-108"/>
              <w:rPr>
                <w:sz w:val="18"/>
                <w:szCs w:val="18"/>
                <w:lang w:val="en-US"/>
              </w:rPr>
            </w:pPr>
            <w:r w:rsidRPr="00272FC0">
              <w:rPr>
                <w:sz w:val="18"/>
                <w:szCs w:val="18"/>
                <w:lang w:val="en-US"/>
              </w:rPr>
              <w:t>estimated lifetime, years</w:t>
            </w:r>
          </w:p>
        </w:tc>
        <w:tc>
          <w:tcPr>
            <w:tcW w:w="1134"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0.8 – 2.2 </w:t>
            </w:r>
          </w:p>
        </w:tc>
        <w:tc>
          <w:tcPr>
            <w:tcW w:w="992"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1.7 – 5.4 </w:t>
            </w:r>
          </w:p>
        </w:tc>
        <w:tc>
          <w:tcPr>
            <w:tcW w:w="1276"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3.5 – 6.0 </w:t>
            </w:r>
          </w:p>
        </w:tc>
        <w:tc>
          <w:tcPr>
            <w:tcW w:w="851" w:type="dxa"/>
            <w:tcBorders>
              <w:top w:val="nil"/>
              <w:bottom w:val="nil"/>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0.5 – 1.1 </w:t>
            </w:r>
          </w:p>
        </w:tc>
      </w:tr>
      <w:tr w:rsidR="00314FD9" w:rsidRPr="00272FC0" w:rsidTr="00272FC0">
        <w:tc>
          <w:tcPr>
            <w:tcW w:w="4361" w:type="dxa"/>
            <w:tcBorders>
              <w:top w:val="nil"/>
              <w:bottom w:val="single" w:sz="4" w:space="0" w:color="auto"/>
            </w:tcBorders>
          </w:tcPr>
          <w:p w:rsidR="00314FD9" w:rsidRPr="00272FC0" w:rsidRDefault="00314FD9" w:rsidP="00A3331A">
            <w:pPr>
              <w:pStyle w:val="Default"/>
              <w:widowControl w:val="0"/>
              <w:ind w:right="-108"/>
              <w:rPr>
                <w:sz w:val="18"/>
                <w:szCs w:val="18"/>
                <w:lang w:val="en-US"/>
              </w:rPr>
            </w:pPr>
            <w:r w:rsidRPr="00272FC0">
              <w:rPr>
                <w:sz w:val="18"/>
                <w:szCs w:val="18"/>
                <w:lang w:val="en-US"/>
              </w:rPr>
              <w:t>payback period, years</w:t>
            </w:r>
          </w:p>
        </w:tc>
        <w:tc>
          <w:tcPr>
            <w:tcW w:w="1134" w:type="dxa"/>
            <w:tcBorders>
              <w:top w:val="nil"/>
              <w:bottom w:val="single" w:sz="4" w:space="0" w:color="auto"/>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1.1 – 4.1 </w:t>
            </w:r>
          </w:p>
        </w:tc>
        <w:tc>
          <w:tcPr>
            <w:tcW w:w="992" w:type="dxa"/>
            <w:tcBorders>
              <w:top w:val="nil"/>
              <w:bottom w:val="single" w:sz="4" w:space="0" w:color="auto"/>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 xml:space="preserve">1.0 – 2.5 </w:t>
            </w:r>
          </w:p>
        </w:tc>
        <w:tc>
          <w:tcPr>
            <w:tcW w:w="1276" w:type="dxa"/>
            <w:tcBorders>
              <w:top w:val="nil"/>
              <w:bottom w:val="single" w:sz="4" w:space="0" w:color="auto"/>
            </w:tcBorders>
          </w:tcPr>
          <w:p w:rsidR="00314FD9" w:rsidRPr="00272FC0" w:rsidRDefault="00314FD9" w:rsidP="00A3331A">
            <w:pPr>
              <w:pStyle w:val="Default"/>
              <w:widowControl w:val="0"/>
              <w:ind w:left="-534" w:right="34"/>
              <w:jc w:val="right"/>
              <w:rPr>
                <w:sz w:val="18"/>
                <w:szCs w:val="18"/>
                <w:lang w:val="en-US"/>
              </w:rPr>
            </w:pPr>
          </w:p>
        </w:tc>
        <w:tc>
          <w:tcPr>
            <w:tcW w:w="851" w:type="dxa"/>
            <w:tcBorders>
              <w:top w:val="nil"/>
              <w:bottom w:val="single" w:sz="4" w:space="0" w:color="auto"/>
            </w:tcBorders>
          </w:tcPr>
          <w:p w:rsidR="00314FD9" w:rsidRPr="00272FC0" w:rsidRDefault="00314FD9" w:rsidP="00A3331A">
            <w:pPr>
              <w:pStyle w:val="Default"/>
              <w:widowControl w:val="0"/>
              <w:ind w:left="-534" w:right="34"/>
              <w:jc w:val="right"/>
              <w:rPr>
                <w:sz w:val="18"/>
                <w:szCs w:val="18"/>
                <w:lang w:val="en-US"/>
              </w:rPr>
            </w:pPr>
            <w:r w:rsidRPr="00272FC0">
              <w:rPr>
                <w:sz w:val="18"/>
                <w:szCs w:val="18"/>
                <w:lang w:val="en-US"/>
              </w:rPr>
              <w:t>1.2 – 3.2</w:t>
            </w:r>
          </w:p>
        </w:tc>
      </w:tr>
    </w:tbl>
    <w:p w:rsidR="007012C8" w:rsidRPr="008F23CC" w:rsidRDefault="007012C8"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1F091A" w:rsidRPr="008F23CC" w:rsidRDefault="001F091A"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The utilization and the on/off cycles of a CHP system affect its potential benefit. Furthermore, higher overall efficiency leads to lower fuel consumption, while longer lifetimes lead to lower annualized capital costs. Concerning the relative influence of the demand profile, the nominal electric capacity, the efficiency and the lifetime of AFC, PAFC, PEMFC and SOFC systems, target costs were found to lie in a rather spread range. This spread was found to be crucially affected by the pattern of demand, and the amount of overlap between heat and power demand. Despite that fuel cell type did not substantially alter the annual savings, the difference in system lifetimes determined their target costs. The comparison between the estimated large scale manufacturing and target costs are summarized in Table 9. </w:t>
      </w:r>
    </w:p>
    <w:p w:rsidR="00073EF5" w:rsidRPr="008F23CC" w:rsidRDefault="00073EF5" w:rsidP="005A0509">
      <w:pPr>
        <w:pStyle w:val="Default"/>
        <w:widowControl w:val="0"/>
        <w:jc w:val="both"/>
        <w:rPr>
          <w:sz w:val="20"/>
          <w:szCs w:val="20"/>
          <w:lang w:val="en-US"/>
        </w:rPr>
      </w:pPr>
    </w:p>
    <w:p w:rsidR="003A1940" w:rsidRPr="008F23CC" w:rsidRDefault="00574C45" w:rsidP="0023649A">
      <w:pPr>
        <w:widowControl w:val="0"/>
        <w:autoSpaceDE w:val="0"/>
        <w:autoSpaceDN w:val="0"/>
        <w:adjustRightInd w:val="0"/>
        <w:spacing w:after="0" w:line="240" w:lineRule="auto"/>
        <w:jc w:val="center"/>
        <w:rPr>
          <w:rFonts w:ascii="Times New Roman" w:hAnsi="Times New Roman" w:cs="Times New Roman"/>
          <w:sz w:val="20"/>
          <w:szCs w:val="20"/>
          <w:lang w:val="en-US"/>
        </w:rPr>
      </w:pPr>
      <w:r w:rsidRPr="00574C45">
        <w:rPr>
          <w:rFonts w:ascii="Times New Roman" w:hAnsi="Times New Roman" w:cs="Times New Roman"/>
          <w:noProof/>
          <w:sz w:val="20"/>
          <w:szCs w:val="20"/>
          <w:lang w:val="en-US"/>
        </w:rPr>
        <w:pict>
          <v:shape id="_x0000_s1059" type="#_x0000_t202" style="position:absolute;left:0;text-align:left;margin-left:187.45pt;margin-top:151.15pt;width:172.8pt;height:21.85pt;z-index:251696128;mso-width-percent:400;mso-width-percent:400;mso-width-relative:margin;mso-height-relative:margin" filled="f" stroked="f">
            <v:textbox style="mso-next-textbox:#_x0000_s1059">
              <w:txbxContent>
                <w:p w:rsidR="00CD2F7F" w:rsidRPr="0023649A" w:rsidRDefault="00CD2F7F">
                  <w:pPr>
                    <w:rPr>
                      <w:rFonts w:ascii="Times New Roman" w:hAnsi="Times New Roman" w:cs="Times New Roman"/>
                      <w:b/>
                    </w:rPr>
                  </w:pPr>
                  <w:r w:rsidRPr="0023649A">
                    <w:rPr>
                      <w:rFonts w:ascii="Times New Roman" w:hAnsi="Times New Roman" w:cs="Times New Roman"/>
                      <w:b/>
                      <w:lang w:val="en-US"/>
                    </w:rPr>
                    <w:t>Lifetime, years</w:t>
                  </w:r>
                </w:p>
              </w:txbxContent>
            </v:textbox>
          </v:shape>
        </w:pict>
      </w:r>
      <w:r w:rsidRPr="00574C45">
        <w:rPr>
          <w:rFonts w:ascii="Times New Roman" w:hAnsi="Times New Roman" w:cs="Times New Roman"/>
          <w:noProof/>
          <w:sz w:val="20"/>
          <w:szCs w:val="20"/>
          <w:lang w:val="en-US"/>
        </w:rPr>
        <w:pict>
          <v:shape id="_x0000_s1057" type="#_x0000_t202" style="position:absolute;left:0;text-align:left;margin-left:24.95pt;margin-top:6pt;width:39.35pt;height:129.6pt;z-index:251693056;mso-width-percent:400;mso-height-percent:200;mso-width-percent:400;mso-height-percent:200;mso-width-relative:margin;mso-height-relative:margin" filled="f" stroked="f">
            <v:textbox style="layout-flow:vertical;mso-layout-flow-alt:bottom-to-top;mso-next-textbox:#_x0000_s1057;mso-fit-shape-to-text:t">
              <w:txbxContent>
                <w:p w:rsidR="00CD2F7F" w:rsidRPr="0023649A" w:rsidRDefault="00CD2F7F" w:rsidP="0023649A">
                  <w:pPr>
                    <w:jc w:val="center"/>
                    <w:rPr>
                      <w:rFonts w:ascii="Times New Roman" w:hAnsi="Times New Roman" w:cs="Times New Roman"/>
                      <w:b/>
                    </w:rPr>
                  </w:pPr>
                  <w:r w:rsidRPr="0023649A">
                    <w:rPr>
                      <w:rFonts w:ascii="Times New Roman" w:hAnsi="Times New Roman" w:cs="Times New Roman"/>
                      <w:b/>
                      <w:lang w:val="en-US"/>
                    </w:rPr>
                    <w:t>target cost, €/kW</w:t>
                  </w:r>
                </w:p>
              </w:txbxContent>
            </v:textbox>
          </v:shape>
        </w:pict>
      </w:r>
      <w:r w:rsidR="00825D8D" w:rsidRPr="008F23CC">
        <w:rPr>
          <w:rFonts w:ascii="Times New Roman" w:hAnsi="Times New Roman" w:cs="Times New Roman"/>
          <w:noProof/>
          <w:sz w:val="20"/>
          <w:szCs w:val="20"/>
          <w:lang w:eastAsia="el-GR"/>
        </w:rPr>
        <w:drawing>
          <wp:inline distT="0" distB="0" distL="0" distR="0">
            <wp:extent cx="4564048" cy="2043485"/>
            <wp:effectExtent l="0" t="0" r="0" b="0"/>
            <wp:docPr id="4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4564049" cy="2043485"/>
                    </a:xfrm>
                    <a:prstGeom prst="rect">
                      <a:avLst/>
                    </a:prstGeom>
                    <a:noFill/>
                    <a:ln w="9525">
                      <a:noFill/>
                      <a:miter lim="800000"/>
                      <a:headEnd/>
                      <a:tailEnd/>
                    </a:ln>
                  </pic:spPr>
                </pic:pic>
              </a:graphicData>
            </a:graphic>
          </wp:inline>
        </w:drawing>
      </w:r>
    </w:p>
    <w:p w:rsidR="003A1940" w:rsidRPr="008F23CC" w:rsidRDefault="003A1940"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0153F6" w:rsidRPr="008F23CC" w:rsidRDefault="000153F6" w:rsidP="000153F6">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5</w:t>
      </w:r>
      <w:r w:rsidRPr="008F23CC">
        <w:rPr>
          <w:rFonts w:ascii="Times New Roman" w:hAnsi="Times New Roman" w:cs="Times New Roman"/>
          <w:sz w:val="20"/>
          <w:szCs w:val="20"/>
          <w:lang w:val="en-US"/>
        </w:rPr>
        <w:t xml:space="preserve"> Estimated effect of fuel cell lifetime on the target cost for competitive commercialization</w:t>
      </w:r>
      <w:r w:rsidR="00196051" w:rsidRPr="008F23CC">
        <w:rPr>
          <w:rFonts w:ascii="Times New Roman" w:hAnsi="Times New Roman" w:cs="Times New Roman"/>
          <w:sz w:val="20"/>
          <w:szCs w:val="20"/>
          <w:lang w:val="en-US"/>
        </w:rPr>
        <w:t xml:space="preserve"> [</w:t>
      </w:r>
      <w:r w:rsidR="002647F4" w:rsidRPr="002647F4">
        <w:rPr>
          <w:rFonts w:ascii="Times New Roman" w:hAnsi="Times New Roman" w:cs="Times New Roman"/>
          <w:color w:val="000000" w:themeColor="text1"/>
          <w:sz w:val="20"/>
          <w:szCs w:val="20"/>
          <w:lang w:val="en-US"/>
        </w:rPr>
        <w:t>35</w:t>
      </w:r>
      <w:r w:rsidR="00196051" w:rsidRPr="008F23CC">
        <w:rPr>
          <w:rFonts w:ascii="Times New Roman" w:hAnsi="Times New Roman" w:cs="Times New Roman"/>
          <w:sz w:val="20"/>
          <w:szCs w:val="20"/>
          <w:lang w:val="en-US"/>
        </w:rPr>
        <w:t>]</w:t>
      </w:r>
    </w:p>
    <w:p w:rsidR="003F4C72" w:rsidRDefault="003F4C72" w:rsidP="003F4C72">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p>
    <w:p w:rsidR="003F4C72" w:rsidRPr="008F23CC" w:rsidRDefault="003F4C72" w:rsidP="003F4C72">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Comparing the large scale production cost estimates with target costs for economic competitiveness, an indication of the market perspective of each fuel cell type can be figured out. Thus, according to the assumptions of Kendall et al, PAFCs and AFCs, under all circumstances, are expected to cost more than it is required to be competitive, while PEMs and SOFCs, exhibit an overlap between the estimated manufacturing cost and the target cost. Additionally, the estimated lifetimes of AFC and PEMFC were found shorter than their payback periods. PEM</w:t>
      </w:r>
      <w:r w:rsidR="003F0781">
        <w:rPr>
          <w:rFonts w:ascii="Times New Roman" w:hAnsi="Times New Roman" w:cs="Times New Roman"/>
          <w:sz w:val="20"/>
          <w:szCs w:val="20"/>
          <w:lang w:val="en-US"/>
        </w:rPr>
        <w:t>s</w:t>
      </w:r>
      <w:r w:rsidRPr="008F23CC">
        <w:rPr>
          <w:rFonts w:ascii="Times New Roman" w:hAnsi="Times New Roman" w:cs="Times New Roman"/>
          <w:sz w:val="20"/>
          <w:szCs w:val="20"/>
          <w:lang w:val="en-US"/>
        </w:rPr>
        <w:t xml:space="preserve"> have been surrounded by much commercial hype, and were responsible for much of the dramatic rise in interest in fuel cells over the last decade. Therefore, the majority of research and commercial activity worldwide is now focussed on PEMFC technology [</w:t>
      </w:r>
      <w:r w:rsidR="00A45BB2">
        <w:rPr>
          <w:rFonts w:ascii="Times New Roman" w:hAnsi="Times New Roman" w:cs="Times New Roman"/>
          <w:sz w:val="20"/>
          <w:szCs w:val="20"/>
          <w:lang w:val="en-US"/>
        </w:rPr>
        <w:t>5</w:t>
      </w:r>
      <w:r w:rsidR="001710B0">
        <w:rPr>
          <w:rFonts w:ascii="Times New Roman" w:hAnsi="Times New Roman" w:cs="Times New Roman"/>
          <w:sz w:val="20"/>
          <w:szCs w:val="20"/>
          <w:lang w:val="en-US"/>
        </w:rPr>
        <w:t>2</w:t>
      </w:r>
      <w:r w:rsidRPr="008F23CC">
        <w:rPr>
          <w:rFonts w:ascii="Times New Roman" w:hAnsi="Times New Roman" w:cs="Times New Roman"/>
          <w:sz w:val="20"/>
          <w:szCs w:val="20"/>
          <w:lang w:val="en-US"/>
        </w:rPr>
        <w:t xml:space="preserve">], giving the greatest potential to </w:t>
      </w:r>
      <w:r w:rsidR="001710B0" w:rsidRPr="008F23CC">
        <w:rPr>
          <w:rFonts w:ascii="Times New Roman" w:hAnsi="Times New Roman" w:cs="Times New Roman"/>
          <w:sz w:val="20"/>
          <w:szCs w:val="20"/>
          <w:lang w:val="en-US"/>
        </w:rPr>
        <w:t>realize</w:t>
      </w:r>
      <w:r w:rsidRPr="008F23CC">
        <w:rPr>
          <w:rFonts w:ascii="Times New Roman" w:hAnsi="Times New Roman" w:cs="Times New Roman"/>
          <w:sz w:val="20"/>
          <w:szCs w:val="20"/>
          <w:lang w:val="en-US"/>
        </w:rPr>
        <w:t xml:space="preserve"> the improvements required to gain widespread usage. Estimates for stationary systems are more conservative due to the different design criteria, particularly the need for more </w:t>
      </w:r>
      <w:r w:rsidRPr="008F23CC">
        <w:rPr>
          <w:rFonts w:ascii="Times New Roman" w:hAnsi="Times New Roman" w:cs="Times New Roman"/>
          <w:sz w:val="20"/>
          <w:szCs w:val="20"/>
          <w:lang w:val="en-US"/>
        </w:rPr>
        <w:lastRenderedPageBreak/>
        <w:t>ancillary equipment, and a less aggressive power density. Many of the advantages of PEMFC are particularly suited to transport applications: e.g. the high power density, mechanical robustness and low operating temperature. However, application in the d</w:t>
      </w:r>
      <w:r w:rsidR="00A45BB2">
        <w:rPr>
          <w:rFonts w:ascii="Times New Roman" w:hAnsi="Times New Roman" w:cs="Times New Roman"/>
          <w:sz w:val="20"/>
          <w:szCs w:val="20"/>
          <w:lang w:val="en-US"/>
        </w:rPr>
        <w:t xml:space="preserve">ecentralized </w:t>
      </w:r>
      <w:r w:rsidRPr="008F23CC">
        <w:rPr>
          <w:rFonts w:ascii="Times New Roman" w:hAnsi="Times New Roman" w:cs="Times New Roman"/>
          <w:sz w:val="20"/>
          <w:szCs w:val="20"/>
          <w:lang w:val="en-US"/>
        </w:rPr>
        <w:t>CHP market generates simila</w:t>
      </w:r>
      <w:r w:rsidR="001710B0">
        <w:rPr>
          <w:rFonts w:ascii="Times New Roman" w:hAnsi="Times New Roman" w:cs="Times New Roman"/>
          <w:sz w:val="20"/>
          <w:szCs w:val="20"/>
          <w:lang w:val="en-US"/>
        </w:rPr>
        <w:t>r interest among manufacturers,</w:t>
      </w:r>
      <w:r w:rsidRPr="008F23CC">
        <w:rPr>
          <w:rFonts w:ascii="Times New Roman" w:hAnsi="Times New Roman" w:cs="Times New Roman"/>
          <w:sz w:val="20"/>
          <w:szCs w:val="20"/>
          <w:lang w:val="en-US"/>
        </w:rPr>
        <w:t xml:space="preserve"> as none of the above features is</w:t>
      </w:r>
      <w:r w:rsidR="00A45BB2">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considered a disadvantage for stationary use,4 and overall performance appears to be similar to other low temperature fuel cells [</w:t>
      </w:r>
      <w:r w:rsidR="002647F4" w:rsidRPr="002647F4">
        <w:rPr>
          <w:rFonts w:ascii="Times New Roman" w:hAnsi="Times New Roman" w:cs="Times New Roman"/>
          <w:color w:val="000000" w:themeColor="text1"/>
          <w:sz w:val="20"/>
          <w:szCs w:val="20"/>
          <w:lang w:val="en-US"/>
        </w:rPr>
        <w:t>35</w:t>
      </w:r>
      <w:r w:rsidRPr="008F23CC">
        <w:rPr>
          <w:rFonts w:ascii="Times New Roman" w:hAnsi="Times New Roman" w:cs="Times New Roman"/>
          <w:sz w:val="20"/>
          <w:szCs w:val="20"/>
          <w:lang w:val="en-US"/>
        </w:rPr>
        <w:t>].</w:t>
      </w:r>
    </w:p>
    <w:p w:rsidR="000153F6" w:rsidRPr="008F23CC" w:rsidRDefault="000153F6"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3A1940" w:rsidRPr="008F23CC" w:rsidRDefault="00574C45" w:rsidP="0023649A">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noProof/>
          <w:sz w:val="20"/>
          <w:szCs w:val="20"/>
          <w:lang w:eastAsia="el-GR"/>
        </w:rPr>
        <w:pict>
          <v:shape id="_x0000_s1060" type="#_x0000_t202" style="position:absolute;left:0;text-align:left;margin-left:169.55pt;margin-top:150.8pt;width:172.8pt;height:31.75pt;z-index:251697152;mso-width-percent:400;mso-height-percent:200;mso-width-percent:400;mso-height-percent:200;mso-width-relative:margin;mso-height-relative:margin" filled="f" stroked="f">
            <v:textbox style="mso-fit-shape-to-text:t">
              <w:txbxContent>
                <w:p w:rsidR="00CD2F7F" w:rsidRPr="0023649A" w:rsidRDefault="00CD2F7F" w:rsidP="0023649A">
                  <w:pPr>
                    <w:rPr>
                      <w:rFonts w:ascii="Times New Roman" w:hAnsi="Times New Roman" w:cs="Times New Roman"/>
                      <w:b/>
                    </w:rPr>
                  </w:pPr>
                  <w:r>
                    <w:rPr>
                      <w:rFonts w:ascii="Times New Roman" w:hAnsi="Times New Roman" w:cs="Times New Roman"/>
                      <w:b/>
                      <w:lang w:val="en-US"/>
                    </w:rPr>
                    <w:t>electrical capacity, kW</w:t>
                  </w:r>
                </w:p>
              </w:txbxContent>
            </v:textbox>
          </v:shape>
        </w:pict>
      </w:r>
      <w:r>
        <w:rPr>
          <w:rFonts w:ascii="Times New Roman" w:hAnsi="Times New Roman" w:cs="Times New Roman"/>
          <w:noProof/>
          <w:sz w:val="20"/>
          <w:szCs w:val="20"/>
          <w:lang w:eastAsia="el-GR"/>
        </w:rPr>
        <w:pict>
          <v:shape id="_x0000_s1058" type="#_x0000_t202" style="position:absolute;left:0;text-align:left;margin-left:25.9pt;margin-top:10.2pt;width:39.35pt;height:129.6pt;z-index:251694080;mso-width-percent:400;mso-height-percent:200;mso-width-percent:400;mso-height-percent:200;mso-width-relative:margin;mso-height-relative:margin" filled="f" stroked="f">
            <v:textbox style="layout-flow:vertical;mso-layout-flow-alt:bottom-to-top;mso-fit-shape-to-text:t">
              <w:txbxContent>
                <w:p w:rsidR="00CD2F7F" w:rsidRPr="0023649A" w:rsidRDefault="00CD2F7F" w:rsidP="0023649A">
                  <w:pPr>
                    <w:jc w:val="center"/>
                    <w:rPr>
                      <w:rFonts w:ascii="Times New Roman" w:hAnsi="Times New Roman" w:cs="Times New Roman"/>
                      <w:b/>
                    </w:rPr>
                  </w:pPr>
                  <w:r w:rsidRPr="0023649A">
                    <w:rPr>
                      <w:rFonts w:ascii="Times New Roman" w:hAnsi="Times New Roman" w:cs="Times New Roman"/>
                      <w:b/>
                      <w:lang w:val="en-US"/>
                    </w:rPr>
                    <w:t>target cost, €/kW</w:t>
                  </w:r>
                </w:p>
              </w:txbxContent>
            </v:textbox>
          </v:shape>
        </w:pict>
      </w:r>
      <w:r w:rsidR="0023649A" w:rsidRPr="008F23CC">
        <w:rPr>
          <w:rFonts w:ascii="Times New Roman" w:hAnsi="Times New Roman" w:cs="Times New Roman"/>
          <w:noProof/>
          <w:sz w:val="20"/>
          <w:szCs w:val="20"/>
          <w:lang w:eastAsia="el-GR"/>
        </w:rPr>
        <w:drawing>
          <wp:inline distT="0" distB="0" distL="0" distR="0">
            <wp:extent cx="4508389" cy="2043486"/>
            <wp:effectExtent l="0" t="0" r="0" b="0"/>
            <wp:docPr id="49"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srcRect/>
                    <a:stretch>
                      <a:fillRect/>
                    </a:stretch>
                  </pic:blipFill>
                  <pic:spPr bwMode="auto">
                    <a:xfrm>
                      <a:off x="0" y="0"/>
                      <a:ext cx="4508390" cy="2043485"/>
                    </a:xfrm>
                    <a:prstGeom prst="rect">
                      <a:avLst/>
                    </a:prstGeom>
                    <a:noFill/>
                    <a:ln w="9525">
                      <a:noFill/>
                      <a:miter lim="800000"/>
                      <a:headEnd/>
                      <a:tailEnd/>
                    </a:ln>
                  </pic:spPr>
                </pic:pic>
              </a:graphicData>
            </a:graphic>
          </wp:inline>
        </w:drawing>
      </w:r>
    </w:p>
    <w:p w:rsidR="003A1940" w:rsidRPr="008F23CC" w:rsidRDefault="003A1940"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0153F6" w:rsidRPr="008F23CC" w:rsidRDefault="000153F6" w:rsidP="000153F6">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6</w:t>
      </w:r>
      <w:r w:rsidRPr="008F23CC">
        <w:rPr>
          <w:rFonts w:ascii="Times New Roman" w:hAnsi="Times New Roman" w:cs="Times New Roman"/>
          <w:sz w:val="20"/>
          <w:szCs w:val="20"/>
          <w:lang w:val="en-US"/>
        </w:rPr>
        <w:t xml:space="preserve"> Estimated effect of fuel cell capacity on the target cost for competitive commercialization</w:t>
      </w:r>
      <w:r w:rsidR="00196051" w:rsidRPr="008F23CC">
        <w:rPr>
          <w:rFonts w:ascii="Times New Roman" w:hAnsi="Times New Roman" w:cs="Times New Roman"/>
          <w:sz w:val="20"/>
          <w:szCs w:val="20"/>
          <w:lang w:val="en-US"/>
        </w:rPr>
        <w:t xml:space="preserve"> [</w:t>
      </w:r>
      <w:r w:rsidR="002647F4" w:rsidRPr="002647F4">
        <w:rPr>
          <w:rFonts w:ascii="Times New Roman" w:hAnsi="Times New Roman" w:cs="Times New Roman"/>
          <w:color w:val="000000" w:themeColor="text1"/>
          <w:sz w:val="20"/>
          <w:szCs w:val="20"/>
          <w:lang w:val="en-US"/>
        </w:rPr>
        <w:t>35</w:t>
      </w:r>
      <w:r w:rsidR="00196051" w:rsidRPr="008F23CC">
        <w:rPr>
          <w:rFonts w:ascii="Times New Roman" w:hAnsi="Times New Roman" w:cs="Times New Roman"/>
          <w:sz w:val="20"/>
          <w:szCs w:val="20"/>
          <w:lang w:val="en-US"/>
        </w:rPr>
        <w:t>]</w:t>
      </w:r>
    </w:p>
    <w:p w:rsidR="00A338AC" w:rsidRPr="008F23CC" w:rsidRDefault="00A338AC"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1E3293" w:rsidRPr="008F23CC" w:rsidRDefault="005A0509"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System’s lifetime (Figure </w:t>
      </w:r>
      <w:r w:rsidR="009F2290" w:rsidRPr="008F23CC">
        <w:rPr>
          <w:rFonts w:ascii="Times New Roman" w:hAnsi="Times New Roman" w:cs="Times New Roman"/>
          <w:sz w:val="20"/>
          <w:szCs w:val="20"/>
          <w:lang w:val="en-US"/>
        </w:rPr>
        <w:t>5</w:t>
      </w:r>
      <w:r w:rsidRPr="008F23CC">
        <w:rPr>
          <w:rFonts w:ascii="Times New Roman" w:hAnsi="Times New Roman" w:cs="Times New Roman"/>
          <w:sz w:val="20"/>
          <w:szCs w:val="20"/>
          <w:lang w:val="en-US"/>
        </w:rPr>
        <w:t xml:space="preserve">) and the power demand (or the nominal electrical power output, of the required cell – Figure </w:t>
      </w:r>
      <w:r w:rsidR="009F2290" w:rsidRPr="008F23CC">
        <w:rPr>
          <w:rFonts w:ascii="Times New Roman" w:hAnsi="Times New Roman" w:cs="Times New Roman"/>
          <w:sz w:val="20"/>
          <w:szCs w:val="20"/>
          <w:lang w:val="en-US"/>
        </w:rPr>
        <w:t>6</w:t>
      </w:r>
      <w:r w:rsidRPr="008F23CC">
        <w:rPr>
          <w:rFonts w:ascii="Times New Roman" w:hAnsi="Times New Roman" w:cs="Times New Roman"/>
          <w:sz w:val="20"/>
          <w:szCs w:val="20"/>
          <w:lang w:val="en-US"/>
        </w:rPr>
        <w:t xml:space="preserve">) </w:t>
      </w:r>
      <w:r w:rsidR="009F2290" w:rsidRPr="008F23CC">
        <w:rPr>
          <w:rFonts w:ascii="Times New Roman" w:hAnsi="Times New Roman" w:cs="Times New Roman"/>
          <w:sz w:val="20"/>
          <w:szCs w:val="20"/>
          <w:lang w:val="en-US"/>
        </w:rPr>
        <w:t xml:space="preserve">were found to </w:t>
      </w:r>
      <w:r w:rsidRPr="008F23CC">
        <w:rPr>
          <w:rFonts w:ascii="Times New Roman" w:hAnsi="Times New Roman" w:cs="Times New Roman"/>
          <w:sz w:val="20"/>
          <w:szCs w:val="20"/>
          <w:lang w:val="en-US"/>
        </w:rPr>
        <w:t>have the greatest impact on target costs, while the first is the main responsible for the differences in the target costs between the examined types. Kendall’s results points out the considerable uncertainty in the cost targets for fuel cell CHP within a range of 300 – 700 €kW, which seems quite typical [</w:t>
      </w:r>
      <w:r w:rsidR="00A45BB2">
        <w:rPr>
          <w:rFonts w:ascii="Times New Roman" w:hAnsi="Times New Roman" w:cs="Times New Roman"/>
          <w:sz w:val="20"/>
          <w:szCs w:val="20"/>
          <w:lang w:val="en-US"/>
        </w:rPr>
        <w:t>5</w:t>
      </w:r>
      <w:r w:rsidR="001710B0">
        <w:rPr>
          <w:rFonts w:ascii="Times New Roman" w:hAnsi="Times New Roman" w:cs="Times New Roman"/>
          <w:sz w:val="20"/>
          <w:szCs w:val="20"/>
          <w:lang w:val="en-US"/>
        </w:rPr>
        <w:t>3</w:t>
      </w:r>
      <w:r w:rsidRPr="008F23CC">
        <w:rPr>
          <w:rFonts w:ascii="Times New Roman" w:hAnsi="Times New Roman" w:cs="Times New Roman"/>
          <w:sz w:val="20"/>
          <w:szCs w:val="20"/>
          <w:lang w:val="en-US"/>
        </w:rPr>
        <w:t xml:space="preserve">]. Variations in electrical and total efficiencies among the fuel cell types, were found of little significance. </w:t>
      </w:r>
      <w:r w:rsidR="004A10EA" w:rsidRPr="008F23CC">
        <w:rPr>
          <w:rFonts w:ascii="Times New Roman" w:hAnsi="Times New Roman" w:cs="Times New Roman"/>
          <w:sz w:val="20"/>
          <w:szCs w:val="20"/>
          <w:lang w:val="en-US"/>
        </w:rPr>
        <w:t xml:space="preserve">In conclusion, </w:t>
      </w:r>
      <w:r w:rsidR="009F2290" w:rsidRPr="008F23CC">
        <w:rPr>
          <w:rFonts w:ascii="Times New Roman" w:hAnsi="Times New Roman" w:cs="Times New Roman"/>
          <w:sz w:val="20"/>
          <w:szCs w:val="20"/>
          <w:lang w:val="en-US"/>
        </w:rPr>
        <w:t>mostly</w:t>
      </w:r>
      <w:r w:rsidR="004A10EA" w:rsidRPr="008F23CC">
        <w:rPr>
          <w:rFonts w:ascii="Times New Roman" w:hAnsi="Times New Roman" w:cs="Times New Roman"/>
          <w:sz w:val="20"/>
          <w:szCs w:val="20"/>
          <w:lang w:val="en-US"/>
        </w:rPr>
        <w:t xml:space="preserve"> PEFC and SOFC have the potential to meet the allowable cost targets. It is critical however, the current technologies to </w:t>
      </w:r>
      <w:r w:rsidR="00314FD9" w:rsidRPr="008F23CC">
        <w:rPr>
          <w:rFonts w:ascii="Times New Roman" w:hAnsi="Times New Roman" w:cs="Times New Roman"/>
          <w:sz w:val="20"/>
          <w:szCs w:val="20"/>
          <w:lang w:val="en-US"/>
        </w:rPr>
        <w:t>obtain adequate production volumes</w:t>
      </w:r>
      <w:r w:rsidR="00073EF5" w:rsidRPr="008F23CC">
        <w:rPr>
          <w:rFonts w:ascii="Times New Roman" w:hAnsi="Times New Roman" w:cs="Times New Roman"/>
          <w:sz w:val="20"/>
          <w:szCs w:val="20"/>
          <w:lang w:val="en-US"/>
        </w:rPr>
        <w:t xml:space="preserve"> [</w:t>
      </w:r>
      <w:r w:rsidR="002647F4" w:rsidRPr="002647F4">
        <w:rPr>
          <w:rFonts w:ascii="Times New Roman" w:hAnsi="Times New Roman" w:cs="Times New Roman"/>
          <w:color w:val="000000" w:themeColor="text1"/>
          <w:sz w:val="20"/>
          <w:szCs w:val="20"/>
          <w:lang w:val="en-US"/>
        </w:rPr>
        <w:t>35</w:t>
      </w:r>
      <w:r w:rsidR="00073EF5" w:rsidRPr="008F23CC">
        <w:rPr>
          <w:rFonts w:ascii="Times New Roman" w:hAnsi="Times New Roman" w:cs="Times New Roman"/>
          <w:sz w:val="20"/>
          <w:szCs w:val="20"/>
          <w:lang w:val="en-US"/>
        </w:rPr>
        <w:t>]</w:t>
      </w:r>
      <w:r w:rsidR="004A10EA" w:rsidRPr="008F23CC">
        <w:rPr>
          <w:rFonts w:ascii="Times New Roman" w:hAnsi="Times New Roman" w:cs="Times New Roman"/>
          <w:sz w:val="20"/>
          <w:szCs w:val="20"/>
          <w:lang w:val="en-US"/>
        </w:rPr>
        <w:t xml:space="preserve">. </w:t>
      </w:r>
      <w:r w:rsidR="00073EF5" w:rsidRPr="008F23CC">
        <w:rPr>
          <w:rFonts w:ascii="Times New Roman" w:hAnsi="Times New Roman" w:cs="Times New Roman"/>
          <w:sz w:val="20"/>
          <w:szCs w:val="20"/>
          <w:lang w:val="en-US"/>
        </w:rPr>
        <w:t>H</w:t>
      </w:r>
      <w:r w:rsidR="001E3293" w:rsidRPr="008F23CC">
        <w:rPr>
          <w:rFonts w:ascii="Times New Roman" w:hAnsi="Times New Roman" w:cs="Times New Roman"/>
          <w:sz w:val="20"/>
          <w:szCs w:val="20"/>
          <w:lang w:val="en-US"/>
        </w:rPr>
        <w:t>igh-temperature membrane</w:t>
      </w:r>
      <w:r w:rsidR="00073EF5" w:rsidRPr="008F23CC">
        <w:rPr>
          <w:rFonts w:ascii="Times New Roman" w:hAnsi="Times New Roman" w:cs="Times New Roman"/>
          <w:sz w:val="20"/>
          <w:szCs w:val="20"/>
          <w:lang w:val="en-US"/>
        </w:rPr>
        <w:t>s,</w:t>
      </w:r>
      <w:r w:rsidR="001E3293" w:rsidRPr="008F23CC">
        <w:rPr>
          <w:rFonts w:ascii="Times New Roman" w:hAnsi="Times New Roman" w:cs="Times New Roman"/>
          <w:sz w:val="20"/>
          <w:szCs w:val="20"/>
          <w:lang w:val="en-US"/>
        </w:rPr>
        <w:t xml:space="preserve"> </w:t>
      </w:r>
      <w:r w:rsidR="00073EF5" w:rsidRPr="008F23CC">
        <w:rPr>
          <w:rFonts w:ascii="Times New Roman" w:hAnsi="Times New Roman" w:cs="Times New Roman"/>
          <w:sz w:val="20"/>
          <w:szCs w:val="20"/>
          <w:lang w:val="en-US"/>
        </w:rPr>
        <w:t>today, are</w:t>
      </w:r>
      <w:r w:rsidR="001E3293" w:rsidRPr="008F23CC">
        <w:rPr>
          <w:rFonts w:ascii="Times New Roman" w:hAnsi="Times New Roman" w:cs="Times New Roman"/>
          <w:sz w:val="20"/>
          <w:szCs w:val="20"/>
          <w:lang w:val="en-US"/>
        </w:rPr>
        <w:t xml:space="preserve"> expected to </w:t>
      </w:r>
      <w:r w:rsidR="00073EF5" w:rsidRPr="008F23CC">
        <w:rPr>
          <w:rFonts w:ascii="Times New Roman" w:hAnsi="Times New Roman" w:cs="Times New Roman"/>
          <w:sz w:val="20"/>
          <w:szCs w:val="20"/>
          <w:lang w:val="en-US"/>
        </w:rPr>
        <w:t xml:space="preserve">last not more than </w:t>
      </w:r>
      <w:r w:rsidR="001E3293" w:rsidRPr="008F23CC">
        <w:rPr>
          <w:rFonts w:ascii="Times New Roman" w:hAnsi="Times New Roman" w:cs="Times New Roman"/>
          <w:sz w:val="20"/>
          <w:szCs w:val="20"/>
          <w:lang w:val="en-US"/>
        </w:rPr>
        <w:t xml:space="preserve">20,000 hours and </w:t>
      </w:r>
      <w:r w:rsidR="00073EF5" w:rsidRPr="008F23CC">
        <w:rPr>
          <w:rFonts w:ascii="Times New Roman" w:hAnsi="Times New Roman" w:cs="Times New Roman"/>
          <w:sz w:val="20"/>
          <w:szCs w:val="20"/>
          <w:lang w:val="en-US"/>
        </w:rPr>
        <w:t xml:space="preserve">exhibit </w:t>
      </w:r>
      <w:r w:rsidR="001E3293" w:rsidRPr="008F23CC">
        <w:rPr>
          <w:rFonts w:ascii="Times New Roman" w:hAnsi="Times New Roman" w:cs="Times New Roman"/>
          <w:sz w:val="20"/>
          <w:szCs w:val="20"/>
          <w:lang w:val="en-US"/>
        </w:rPr>
        <w:t>an overall installed fuel cell system cost of less than $1,500/kW for initial commercialization (by 2008) and ultimately $400/kW for large markets (by 2010) [</w:t>
      </w:r>
      <w:r w:rsidR="00A45BB2">
        <w:rPr>
          <w:rFonts w:ascii="Times New Roman" w:hAnsi="Times New Roman" w:cs="Times New Roman"/>
          <w:sz w:val="20"/>
          <w:szCs w:val="20"/>
          <w:lang w:val="en-US"/>
        </w:rPr>
        <w:t>4</w:t>
      </w:r>
      <w:r w:rsidR="001710B0">
        <w:rPr>
          <w:rFonts w:ascii="Times New Roman" w:hAnsi="Times New Roman" w:cs="Times New Roman"/>
          <w:sz w:val="20"/>
          <w:szCs w:val="20"/>
          <w:lang w:val="en-US"/>
        </w:rPr>
        <w:t>6</w:t>
      </w:r>
      <w:r w:rsidR="001E3293" w:rsidRPr="008F23CC">
        <w:rPr>
          <w:rFonts w:ascii="Times New Roman" w:hAnsi="Times New Roman" w:cs="Times New Roman"/>
          <w:sz w:val="20"/>
          <w:szCs w:val="20"/>
          <w:lang w:val="en-US"/>
        </w:rPr>
        <w:t xml:space="preserve">]. </w:t>
      </w:r>
    </w:p>
    <w:p w:rsidR="00D30F89" w:rsidRPr="008F23CC" w:rsidRDefault="00D30F89"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p w:rsidR="000224E5" w:rsidRPr="00936ADD" w:rsidRDefault="00272FC0" w:rsidP="003066A0">
      <w:pPr>
        <w:widowControl w:val="0"/>
        <w:autoSpaceDE w:val="0"/>
        <w:autoSpaceDN w:val="0"/>
        <w:adjustRightInd w:val="0"/>
        <w:spacing w:after="0" w:line="240" w:lineRule="auto"/>
        <w:jc w:val="both"/>
        <w:rPr>
          <w:rFonts w:ascii="Times New Roman" w:hAnsi="Times New Roman" w:cs="Times New Roman"/>
          <w:b/>
          <w:lang w:val="en-US"/>
        </w:rPr>
      </w:pPr>
      <w:r w:rsidRPr="00936ADD">
        <w:rPr>
          <w:rFonts w:ascii="Times New Roman" w:hAnsi="Times New Roman" w:cs="Times New Roman"/>
          <w:b/>
          <w:lang w:val="en-US"/>
        </w:rPr>
        <w:t>4.</w:t>
      </w:r>
      <w:r w:rsidR="0064249C" w:rsidRPr="00936ADD">
        <w:rPr>
          <w:rFonts w:ascii="Times New Roman" w:hAnsi="Times New Roman" w:cs="Times New Roman"/>
          <w:b/>
          <w:lang w:val="en-US"/>
        </w:rPr>
        <w:t xml:space="preserve">2 </w:t>
      </w:r>
      <w:r w:rsidR="000224E5" w:rsidRPr="00936ADD">
        <w:rPr>
          <w:rFonts w:ascii="Times New Roman" w:hAnsi="Times New Roman" w:cs="Times New Roman"/>
          <w:b/>
          <w:lang w:val="en-US"/>
        </w:rPr>
        <w:t>Fuel</w:t>
      </w:r>
      <w:r w:rsidR="0023368A" w:rsidRPr="00936ADD">
        <w:rPr>
          <w:rFonts w:ascii="Times New Roman" w:hAnsi="Times New Roman" w:cs="Times New Roman"/>
          <w:b/>
          <w:lang w:val="en-US"/>
        </w:rPr>
        <w:t xml:space="preserve"> </w:t>
      </w:r>
      <w:r w:rsidR="000224E5" w:rsidRPr="00936ADD">
        <w:rPr>
          <w:rFonts w:ascii="Times New Roman" w:hAnsi="Times New Roman" w:cs="Times New Roman"/>
          <w:b/>
          <w:lang w:val="en-US"/>
        </w:rPr>
        <w:t>Cell Market</w:t>
      </w:r>
      <w:r w:rsidR="0064249C" w:rsidRPr="00936ADD">
        <w:rPr>
          <w:rFonts w:ascii="Times New Roman" w:hAnsi="Times New Roman" w:cs="Times New Roman"/>
          <w:b/>
          <w:lang w:val="en-US"/>
        </w:rPr>
        <w:t xml:space="preserve"> Development</w:t>
      </w:r>
    </w:p>
    <w:p w:rsidR="006D5456" w:rsidRPr="008F23CC" w:rsidRDefault="001E3293" w:rsidP="0019556C">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F</w:t>
      </w:r>
      <w:r w:rsidR="00F64FEE" w:rsidRPr="008F23CC">
        <w:rPr>
          <w:rFonts w:ascii="Times New Roman" w:hAnsi="Times New Roman" w:cs="Times New Roman"/>
          <w:sz w:val="20"/>
          <w:szCs w:val="20"/>
          <w:lang w:val="en-US"/>
        </w:rPr>
        <w:t xml:space="preserve">uel cell manufacturing costs and the directly related retail prices are expected to be strongly affected by the established production volumes and the corresponding learning effects. These volumes depend upon the rates of fuel cells commercialization, which, in turn, are expected to be determined by their price competitiveness. In this context, the fuel cell </w:t>
      </w:r>
      <w:r w:rsidR="0023368A" w:rsidRPr="008F23CC">
        <w:rPr>
          <w:rFonts w:ascii="Times New Roman" w:hAnsi="Times New Roman" w:cs="Times New Roman"/>
          <w:sz w:val="20"/>
          <w:szCs w:val="20"/>
          <w:lang w:val="en-US"/>
        </w:rPr>
        <w:t xml:space="preserve">related industry, the most crucial leveraging factor for fuel </w:t>
      </w:r>
      <w:r w:rsidR="00E44F19" w:rsidRPr="008F23CC">
        <w:rPr>
          <w:rFonts w:ascii="Times New Roman" w:hAnsi="Times New Roman" w:cs="Times New Roman"/>
          <w:sz w:val="20"/>
          <w:szCs w:val="20"/>
          <w:lang w:val="en-US"/>
        </w:rPr>
        <w:t xml:space="preserve">the </w:t>
      </w:r>
      <w:r w:rsidR="0023368A" w:rsidRPr="008F23CC">
        <w:rPr>
          <w:rFonts w:ascii="Times New Roman" w:hAnsi="Times New Roman" w:cs="Times New Roman"/>
          <w:sz w:val="20"/>
          <w:szCs w:val="20"/>
          <w:lang w:val="en-US"/>
        </w:rPr>
        <w:t xml:space="preserve">cell market development, is </w:t>
      </w:r>
      <w:r w:rsidR="006D5456" w:rsidRPr="008F23CC">
        <w:rPr>
          <w:rFonts w:ascii="Times New Roman" w:hAnsi="Times New Roman" w:cs="Times New Roman"/>
          <w:sz w:val="20"/>
          <w:szCs w:val="20"/>
          <w:lang w:val="en-US"/>
        </w:rPr>
        <w:t>not only</w:t>
      </w:r>
      <w:r w:rsidR="0023368A" w:rsidRPr="008F23CC">
        <w:rPr>
          <w:rFonts w:ascii="Times New Roman" w:hAnsi="Times New Roman" w:cs="Times New Roman"/>
          <w:sz w:val="20"/>
          <w:szCs w:val="20"/>
          <w:lang w:val="en-US"/>
        </w:rPr>
        <w:t xml:space="preserve"> </w:t>
      </w:r>
      <w:r w:rsidR="009F2290" w:rsidRPr="008F23CC">
        <w:rPr>
          <w:rFonts w:ascii="Times New Roman" w:hAnsi="Times New Roman" w:cs="Times New Roman"/>
          <w:sz w:val="20"/>
          <w:szCs w:val="20"/>
          <w:lang w:val="en-US"/>
        </w:rPr>
        <w:t xml:space="preserve">of </w:t>
      </w:r>
      <w:r w:rsidR="0023368A" w:rsidRPr="008F23CC">
        <w:rPr>
          <w:rFonts w:ascii="Times New Roman" w:hAnsi="Times New Roman" w:cs="Times New Roman"/>
          <w:sz w:val="20"/>
          <w:szCs w:val="20"/>
          <w:lang w:val="en-US"/>
        </w:rPr>
        <w:t xml:space="preserve">major importance, </w:t>
      </w:r>
      <w:r w:rsidR="006D5456" w:rsidRPr="008F23CC">
        <w:rPr>
          <w:rFonts w:ascii="Times New Roman" w:hAnsi="Times New Roman" w:cs="Times New Roman"/>
          <w:sz w:val="20"/>
          <w:szCs w:val="20"/>
          <w:lang w:val="en-US"/>
        </w:rPr>
        <w:t xml:space="preserve">but also </w:t>
      </w:r>
      <w:r w:rsidR="0023368A" w:rsidRPr="008F23CC">
        <w:rPr>
          <w:rFonts w:ascii="Times New Roman" w:hAnsi="Times New Roman" w:cs="Times New Roman"/>
          <w:sz w:val="20"/>
          <w:szCs w:val="20"/>
          <w:lang w:val="en-US"/>
        </w:rPr>
        <w:t xml:space="preserve">represents </w:t>
      </w:r>
      <w:r w:rsidR="006D5456" w:rsidRPr="008F23CC">
        <w:rPr>
          <w:rFonts w:ascii="Times New Roman" w:hAnsi="Times New Roman" w:cs="Times New Roman"/>
          <w:sz w:val="20"/>
          <w:szCs w:val="20"/>
          <w:lang w:val="en-US"/>
        </w:rPr>
        <w:t xml:space="preserve">an </w:t>
      </w:r>
      <w:r w:rsidR="0023368A" w:rsidRPr="008F23CC">
        <w:rPr>
          <w:rFonts w:ascii="Times New Roman" w:hAnsi="Times New Roman" w:cs="Times New Roman"/>
          <w:sz w:val="20"/>
          <w:szCs w:val="20"/>
          <w:lang w:val="en-US"/>
        </w:rPr>
        <w:t xml:space="preserve">indicator </w:t>
      </w:r>
      <w:r w:rsidR="006D5456" w:rsidRPr="008F23CC">
        <w:rPr>
          <w:rFonts w:ascii="Times New Roman" w:hAnsi="Times New Roman" w:cs="Times New Roman"/>
          <w:sz w:val="20"/>
          <w:szCs w:val="20"/>
          <w:lang w:val="en-US"/>
        </w:rPr>
        <w:t>of the situation so far and its near term future potential.</w:t>
      </w:r>
      <w:r w:rsidR="00F64FEE" w:rsidRPr="008F23CC">
        <w:rPr>
          <w:rFonts w:ascii="Times New Roman" w:hAnsi="Times New Roman" w:cs="Times New Roman"/>
          <w:sz w:val="20"/>
          <w:szCs w:val="20"/>
          <w:lang w:val="en-US"/>
        </w:rPr>
        <w:t xml:space="preserve"> </w:t>
      </w:r>
    </w:p>
    <w:p w:rsidR="006D5456" w:rsidRPr="008F23CC" w:rsidRDefault="006D5456" w:rsidP="009230BC">
      <w:pPr>
        <w:widowControl w:val="0"/>
        <w:autoSpaceDE w:val="0"/>
        <w:autoSpaceDN w:val="0"/>
        <w:adjustRightInd w:val="0"/>
        <w:spacing w:after="0" w:line="240" w:lineRule="auto"/>
        <w:rPr>
          <w:rFonts w:ascii="Times New Roman" w:hAnsi="Times New Roman" w:cs="Times New Roman"/>
          <w:sz w:val="20"/>
          <w:szCs w:val="20"/>
          <w:lang w:val="en-US"/>
        </w:rPr>
      </w:pPr>
    </w:p>
    <w:p w:rsidR="006D5456" w:rsidRPr="008F23CC" w:rsidRDefault="006D5456" w:rsidP="009230BC">
      <w:pPr>
        <w:widowControl w:val="0"/>
        <w:autoSpaceDE w:val="0"/>
        <w:autoSpaceDN w:val="0"/>
        <w:adjustRightInd w:val="0"/>
        <w:spacing w:after="0" w:line="240" w:lineRule="auto"/>
        <w:rPr>
          <w:rFonts w:ascii="Times New Roman" w:hAnsi="Times New Roman" w:cs="Times New Roman"/>
          <w:b/>
          <w:sz w:val="20"/>
          <w:szCs w:val="20"/>
          <w:lang w:val="en-US"/>
        </w:rPr>
      </w:pPr>
      <w:r w:rsidRPr="008F23CC">
        <w:rPr>
          <w:rFonts w:ascii="Times New Roman" w:hAnsi="Times New Roman" w:cs="Times New Roman"/>
          <w:b/>
          <w:sz w:val="20"/>
          <w:szCs w:val="20"/>
          <w:lang w:val="en-US"/>
        </w:rPr>
        <w:t>Fuel Cell Industry profile</w:t>
      </w:r>
    </w:p>
    <w:p w:rsidR="003B15E9" w:rsidRPr="008F23CC" w:rsidRDefault="00510E85" w:rsidP="002B56C3">
      <w:pPr>
        <w:autoSpaceDE w:val="0"/>
        <w:autoSpaceDN w:val="0"/>
        <w:adjustRightInd w:val="0"/>
        <w:spacing w:after="0" w:line="240" w:lineRule="auto"/>
        <w:jc w:val="both"/>
        <w:rPr>
          <w:rFonts w:ascii="Times New Roman" w:hAnsi="Times New Roman" w:cs="Times New Roman"/>
          <w:color w:val="000000"/>
          <w:sz w:val="20"/>
          <w:szCs w:val="20"/>
          <w:lang w:val="en-US"/>
        </w:rPr>
      </w:pPr>
      <w:r w:rsidRPr="008F23CC">
        <w:rPr>
          <w:rFonts w:ascii="Times New Roman" w:hAnsi="Times New Roman" w:cs="Times New Roman"/>
          <w:sz w:val="20"/>
          <w:szCs w:val="20"/>
          <w:lang w:val="en-US"/>
        </w:rPr>
        <w:t xml:space="preserve">The </w:t>
      </w:r>
      <w:r w:rsidR="000D2992" w:rsidRPr="008F23CC">
        <w:rPr>
          <w:rFonts w:ascii="Times New Roman" w:hAnsi="Times New Roman" w:cs="Times New Roman"/>
          <w:sz w:val="20"/>
          <w:szCs w:val="20"/>
          <w:lang w:val="en-US"/>
        </w:rPr>
        <w:t>commercialization</w:t>
      </w:r>
      <w:r w:rsidRPr="008F23CC">
        <w:rPr>
          <w:rFonts w:ascii="Times New Roman" w:hAnsi="Times New Roman" w:cs="Times New Roman"/>
          <w:sz w:val="20"/>
          <w:szCs w:val="20"/>
          <w:lang w:val="en-US"/>
        </w:rPr>
        <w:t xml:space="preserve"> of a new technology is a challenging and uncertain process. Likewise, the emerging fuel cell industry experiences</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numerous technical and market uncer</w:t>
      </w:r>
      <w:r w:rsidR="000D2992" w:rsidRPr="008F23CC">
        <w:rPr>
          <w:rFonts w:ascii="Times New Roman" w:hAnsi="Times New Roman" w:cs="Times New Roman"/>
          <w:sz w:val="20"/>
          <w:szCs w:val="20"/>
          <w:lang w:val="en-US"/>
        </w:rPr>
        <w:t>tainties to shift from primary</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Research and Development activities to production, marketing</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and sales. The pre-</w:t>
      </w:r>
      <w:r w:rsidR="000D2992" w:rsidRPr="008F23CC">
        <w:rPr>
          <w:rFonts w:ascii="Times New Roman" w:hAnsi="Times New Roman" w:cs="Times New Roman"/>
          <w:sz w:val="20"/>
          <w:szCs w:val="20"/>
          <w:lang w:val="en-US"/>
        </w:rPr>
        <w:t>commercialization</w:t>
      </w:r>
      <w:r w:rsidRPr="008F23CC">
        <w:rPr>
          <w:rFonts w:ascii="Times New Roman" w:hAnsi="Times New Roman" w:cs="Times New Roman"/>
          <w:sz w:val="20"/>
          <w:szCs w:val="20"/>
          <w:lang w:val="en-US"/>
        </w:rPr>
        <w:t xml:space="preserve"> phase of a new technology is</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challenging and uncertain.</w:t>
      </w:r>
      <w:r w:rsidR="008E3C62">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Among others, </w:t>
      </w:r>
      <w:r w:rsidR="000D2992" w:rsidRPr="008F23CC">
        <w:rPr>
          <w:rFonts w:ascii="Times New Roman" w:hAnsi="Times New Roman" w:cs="Times New Roman"/>
          <w:sz w:val="20"/>
          <w:szCs w:val="20"/>
          <w:lang w:val="en-US"/>
        </w:rPr>
        <w:t>the corresponding industry</w:t>
      </w:r>
      <w:r w:rsidRPr="008F23CC">
        <w:rPr>
          <w:rFonts w:ascii="Times New Roman" w:hAnsi="Times New Roman" w:cs="Times New Roman"/>
          <w:sz w:val="20"/>
          <w:szCs w:val="20"/>
          <w:lang w:val="en-US"/>
        </w:rPr>
        <w:t xml:space="preserve"> </w:t>
      </w:r>
      <w:r w:rsidR="000D2992" w:rsidRPr="008F23CC">
        <w:rPr>
          <w:rFonts w:ascii="Times New Roman" w:hAnsi="Times New Roman" w:cs="Times New Roman"/>
          <w:sz w:val="20"/>
          <w:szCs w:val="20"/>
          <w:lang w:val="en-US"/>
        </w:rPr>
        <w:t>is</w:t>
      </w:r>
      <w:r w:rsidRPr="008F23CC">
        <w:rPr>
          <w:rFonts w:ascii="Times New Roman" w:hAnsi="Times New Roman" w:cs="Times New Roman"/>
          <w:sz w:val="20"/>
          <w:szCs w:val="20"/>
          <w:lang w:val="en-US"/>
        </w:rPr>
        <w:t xml:space="preserve"> challenged</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to manage long payback periods and a diversity of investment</w:t>
      </w:r>
      <w:r w:rsidR="00207194"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options.</w:t>
      </w:r>
      <w:r w:rsidR="008E3C62">
        <w:rPr>
          <w:rFonts w:ascii="Times New Roman" w:hAnsi="Times New Roman" w:cs="Times New Roman"/>
          <w:sz w:val="20"/>
          <w:szCs w:val="20"/>
          <w:lang w:val="en-US"/>
        </w:rPr>
        <w:t xml:space="preserve"> </w:t>
      </w:r>
      <w:r w:rsidR="003B15E9" w:rsidRPr="008F23CC">
        <w:rPr>
          <w:rFonts w:ascii="Times New Roman" w:hAnsi="Times New Roman" w:cs="Times New Roman"/>
          <w:sz w:val="20"/>
          <w:szCs w:val="20"/>
          <w:lang w:val="en-US"/>
        </w:rPr>
        <w:t>T</w:t>
      </w:r>
      <w:r w:rsidR="008E3C62">
        <w:rPr>
          <w:rFonts w:ascii="Times New Roman" w:hAnsi="Times New Roman" w:cs="Times New Roman"/>
          <w:sz w:val="20"/>
          <w:szCs w:val="20"/>
          <w:lang w:val="en-US"/>
        </w:rPr>
        <w:t>oday, t</w:t>
      </w:r>
      <w:r w:rsidR="003B15E9" w:rsidRPr="008F23CC">
        <w:rPr>
          <w:rFonts w:ascii="Times New Roman" w:hAnsi="Times New Roman" w:cs="Times New Roman"/>
          <w:sz w:val="20"/>
          <w:szCs w:val="20"/>
          <w:lang w:val="en-US"/>
        </w:rPr>
        <w:t xml:space="preserve">he fuel cell market development process </w:t>
      </w:r>
      <w:r w:rsidR="002A236C" w:rsidRPr="008F23CC">
        <w:rPr>
          <w:rFonts w:ascii="Times New Roman" w:hAnsi="Times New Roman" w:cs="Times New Roman"/>
          <w:color w:val="000000"/>
          <w:sz w:val="20"/>
          <w:szCs w:val="20"/>
          <w:lang w:val="en-US"/>
        </w:rPr>
        <w:t xml:space="preserve">is quite possible </w:t>
      </w:r>
      <w:r w:rsidR="008E3C62">
        <w:rPr>
          <w:rFonts w:ascii="Times New Roman" w:hAnsi="Times New Roman" w:cs="Times New Roman"/>
          <w:color w:val="000000"/>
          <w:sz w:val="20"/>
          <w:szCs w:val="20"/>
          <w:lang w:val="en-US"/>
        </w:rPr>
        <w:t>to be</w:t>
      </w:r>
      <w:r w:rsidR="002A236C" w:rsidRPr="008F23CC">
        <w:rPr>
          <w:rFonts w:ascii="Times New Roman" w:hAnsi="Times New Roman" w:cs="Times New Roman"/>
          <w:color w:val="000000"/>
          <w:sz w:val="20"/>
          <w:szCs w:val="20"/>
          <w:lang w:val="en-US"/>
        </w:rPr>
        <w:t xml:space="preserve"> passing</w:t>
      </w:r>
      <w:r w:rsidRPr="008F23CC">
        <w:rPr>
          <w:rFonts w:ascii="Times New Roman" w:hAnsi="Times New Roman" w:cs="Times New Roman"/>
          <w:color w:val="000000"/>
          <w:sz w:val="20"/>
          <w:szCs w:val="20"/>
          <w:lang w:val="en-US"/>
        </w:rPr>
        <w:t xml:space="preserve"> through a</w:t>
      </w:r>
      <w:r w:rsidR="000D2992" w:rsidRPr="008F23CC">
        <w:rPr>
          <w:rFonts w:ascii="Times New Roman" w:hAnsi="Times New Roman" w:cs="Times New Roman"/>
          <w:color w:val="000000"/>
          <w:sz w:val="20"/>
          <w:szCs w:val="20"/>
          <w:lang w:val="en-US"/>
        </w:rPr>
        <w:t>n</w:t>
      </w:r>
      <w:r w:rsidRPr="008F23CC">
        <w:rPr>
          <w:rFonts w:ascii="Times New Roman" w:hAnsi="Times New Roman" w:cs="Times New Roman"/>
          <w:color w:val="000000"/>
          <w:sz w:val="20"/>
          <w:szCs w:val="20"/>
          <w:lang w:val="en-US"/>
        </w:rPr>
        <w:t xml:space="preserve"> </w:t>
      </w:r>
      <w:r w:rsidR="000D2992" w:rsidRPr="008F23CC">
        <w:rPr>
          <w:rFonts w:ascii="Times New Roman" w:hAnsi="Times New Roman" w:cs="Times New Roman"/>
          <w:color w:val="000000"/>
          <w:sz w:val="20"/>
          <w:szCs w:val="20"/>
          <w:lang w:val="en-US"/>
        </w:rPr>
        <w:t xml:space="preserve">initial </w:t>
      </w:r>
      <w:r w:rsidRPr="008F23CC">
        <w:rPr>
          <w:rFonts w:ascii="Times New Roman" w:hAnsi="Times New Roman" w:cs="Times New Roman"/>
          <w:color w:val="000000"/>
          <w:sz w:val="20"/>
          <w:szCs w:val="20"/>
          <w:lang w:val="en-US"/>
        </w:rPr>
        <w:t>fluid phase</w:t>
      </w:r>
      <w:r w:rsidR="000D2992" w:rsidRPr="008F23CC">
        <w:rPr>
          <w:rFonts w:ascii="Times New Roman" w:hAnsi="Times New Roman" w:cs="Times New Roman"/>
          <w:color w:val="000000"/>
          <w:sz w:val="20"/>
          <w:szCs w:val="20"/>
          <w:lang w:val="en-US"/>
        </w:rPr>
        <w:t>, characterized by a high degree of uncertainty</w:t>
      </w:r>
      <w:r w:rsidR="003B15E9" w:rsidRPr="008F23CC">
        <w:rPr>
          <w:rFonts w:ascii="Times New Roman" w:hAnsi="Times New Roman" w:cs="Times New Roman"/>
          <w:color w:val="000000"/>
          <w:sz w:val="20"/>
          <w:szCs w:val="20"/>
          <w:lang w:val="en-US"/>
        </w:rPr>
        <w:t xml:space="preserve"> concerning fundamental questions, like which </w:t>
      </w:r>
      <w:r w:rsidR="000D2992" w:rsidRPr="008F23CC">
        <w:rPr>
          <w:rFonts w:ascii="Times New Roman" w:hAnsi="Times New Roman" w:cs="Times New Roman"/>
          <w:color w:val="000000"/>
          <w:sz w:val="20"/>
          <w:szCs w:val="20"/>
          <w:lang w:val="en-US"/>
        </w:rPr>
        <w:t xml:space="preserve">technical alternatives will </w:t>
      </w:r>
      <w:r w:rsidR="003B15E9" w:rsidRPr="008F23CC">
        <w:rPr>
          <w:rFonts w:ascii="Times New Roman" w:hAnsi="Times New Roman" w:cs="Times New Roman"/>
          <w:color w:val="000000"/>
          <w:sz w:val="20"/>
          <w:szCs w:val="20"/>
          <w:lang w:val="en-US"/>
        </w:rPr>
        <w:t xml:space="preserve">finally be </w:t>
      </w:r>
      <w:r w:rsidR="000D2992" w:rsidRPr="008F23CC">
        <w:rPr>
          <w:rFonts w:ascii="Times New Roman" w:hAnsi="Times New Roman" w:cs="Times New Roman"/>
          <w:color w:val="000000"/>
          <w:sz w:val="20"/>
          <w:szCs w:val="20"/>
          <w:lang w:val="en-US"/>
        </w:rPr>
        <w:t>accept</w:t>
      </w:r>
      <w:r w:rsidR="003B15E9" w:rsidRPr="008F23CC">
        <w:rPr>
          <w:rFonts w:ascii="Times New Roman" w:hAnsi="Times New Roman" w:cs="Times New Roman"/>
          <w:color w:val="000000"/>
          <w:sz w:val="20"/>
          <w:szCs w:val="20"/>
          <w:lang w:val="en-US"/>
        </w:rPr>
        <w:t xml:space="preserve">ed by the markets, </w:t>
      </w:r>
      <w:r w:rsidR="002A236C" w:rsidRPr="008F23CC">
        <w:rPr>
          <w:rFonts w:ascii="Times New Roman" w:hAnsi="Times New Roman" w:cs="Times New Roman"/>
          <w:color w:val="000000"/>
          <w:sz w:val="20"/>
          <w:szCs w:val="20"/>
          <w:lang w:val="en-US"/>
        </w:rPr>
        <w:t xml:space="preserve">or in how many years from now </w:t>
      </w:r>
      <w:r w:rsidR="003B15E9" w:rsidRPr="008F23CC">
        <w:rPr>
          <w:rFonts w:ascii="Times New Roman" w:hAnsi="Times New Roman" w:cs="Times New Roman"/>
          <w:color w:val="000000"/>
          <w:sz w:val="20"/>
          <w:szCs w:val="20"/>
          <w:lang w:val="en-US"/>
        </w:rPr>
        <w:t>[</w:t>
      </w:r>
      <w:r w:rsidR="00A45BB2">
        <w:rPr>
          <w:rFonts w:ascii="Times New Roman" w:hAnsi="Times New Roman" w:cs="Times New Roman"/>
          <w:color w:val="000000"/>
          <w:sz w:val="20"/>
          <w:szCs w:val="20"/>
          <w:lang w:val="en-US"/>
        </w:rPr>
        <w:t>5</w:t>
      </w:r>
      <w:r w:rsidR="001710B0">
        <w:rPr>
          <w:rFonts w:ascii="Times New Roman" w:hAnsi="Times New Roman" w:cs="Times New Roman"/>
          <w:color w:val="000000"/>
          <w:sz w:val="20"/>
          <w:szCs w:val="20"/>
          <w:lang w:val="en-US"/>
        </w:rPr>
        <w:t>4</w:t>
      </w:r>
      <w:r w:rsidR="003B15E9" w:rsidRPr="008F23CC">
        <w:rPr>
          <w:rFonts w:ascii="Times New Roman" w:hAnsi="Times New Roman" w:cs="Times New Roman"/>
          <w:color w:val="000000"/>
          <w:sz w:val="20"/>
          <w:szCs w:val="20"/>
          <w:lang w:val="en-US"/>
        </w:rPr>
        <w:t>]</w:t>
      </w:r>
      <w:r w:rsidR="002A236C" w:rsidRPr="008F23CC">
        <w:rPr>
          <w:rFonts w:ascii="Times New Roman" w:hAnsi="Times New Roman" w:cs="Times New Roman"/>
          <w:color w:val="000000"/>
          <w:sz w:val="20"/>
          <w:szCs w:val="20"/>
          <w:lang w:val="en-US"/>
        </w:rPr>
        <w:t>.</w:t>
      </w:r>
    </w:p>
    <w:p w:rsidR="006D5456" w:rsidRPr="008F23CC" w:rsidRDefault="009230BC" w:rsidP="008B7354">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The</w:t>
      </w:r>
      <w:r w:rsidR="00D32F82" w:rsidRPr="008F23CC">
        <w:rPr>
          <w:rFonts w:ascii="Times New Roman" w:hAnsi="Times New Roman" w:cs="Times New Roman"/>
          <w:sz w:val="20"/>
          <w:szCs w:val="20"/>
          <w:lang w:val="en-US"/>
        </w:rPr>
        <w:t xml:space="preserve"> 2006 Worldwide Fuel Cell Industry Survey </w:t>
      </w:r>
      <w:r w:rsidRPr="008F23CC">
        <w:rPr>
          <w:rFonts w:ascii="Times New Roman" w:hAnsi="Times New Roman" w:cs="Times New Roman"/>
          <w:sz w:val="20"/>
          <w:szCs w:val="20"/>
          <w:lang w:val="en-US"/>
        </w:rPr>
        <w:t>[</w:t>
      </w:r>
      <w:r w:rsidR="00A45BB2">
        <w:rPr>
          <w:rFonts w:ascii="Times New Roman" w:hAnsi="Times New Roman" w:cs="Times New Roman"/>
          <w:sz w:val="20"/>
          <w:szCs w:val="20"/>
          <w:lang w:val="en-US"/>
        </w:rPr>
        <w:t>3</w:t>
      </w:r>
      <w:r w:rsidR="001710B0">
        <w:rPr>
          <w:rFonts w:ascii="Times New Roman" w:hAnsi="Times New Roman" w:cs="Times New Roman"/>
          <w:sz w:val="20"/>
          <w:szCs w:val="20"/>
          <w:lang w:val="en-US"/>
        </w:rPr>
        <w:t>8</w:t>
      </w:r>
      <w:r w:rsidRPr="008F23CC">
        <w:rPr>
          <w:rFonts w:ascii="Times New Roman" w:hAnsi="Times New Roman" w:cs="Times New Roman"/>
          <w:sz w:val="20"/>
          <w:szCs w:val="20"/>
          <w:lang w:val="en-US"/>
        </w:rPr>
        <w:t xml:space="preserve">] </w:t>
      </w:r>
      <w:r w:rsidR="00D32F82" w:rsidRPr="008F23CC">
        <w:rPr>
          <w:rFonts w:ascii="Times New Roman" w:hAnsi="Times New Roman" w:cs="Times New Roman"/>
          <w:sz w:val="20"/>
          <w:szCs w:val="20"/>
          <w:lang w:val="en-US"/>
        </w:rPr>
        <w:t xml:space="preserve">provides a profile of </w:t>
      </w:r>
      <w:r w:rsidR="002A236C" w:rsidRPr="008F23CC">
        <w:rPr>
          <w:rFonts w:ascii="Times New Roman" w:hAnsi="Times New Roman" w:cs="Times New Roman"/>
          <w:sz w:val="20"/>
          <w:szCs w:val="20"/>
          <w:lang w:val="en-US"/>
        </w:rPr>
        <w:t xml:space="preserve">181 </w:t>
      </w:r>
      <w:r w:rsidR="00D32F82" w:rsidRPr="008F23CC">
        <w:rPr>
          <w:rFonts w:ascii="Times New Roman" w:hAnsi="Times New Roman" w:cs="Times New Roman"/>
          <w:sz w:val="20"/>
          <w:szCs w:val="20"/>
          <w:lang w:val="en-US"/>
        </w:rPr>
        <w:t>organizations</w:t>
      </w:r>
      <w:r w:rsidR="00980C12" w:rsidRPr="008F23CC">
        <w:rPr>
          <w:rFonts w:ascii="Times New Roman" w:hAnsi="Times New Roman" w:cs="Times New Roman"/>
          <w:sz w:val="20"/>
          <w:szCs w:val="20"/>
          <w:lang w:val="en-US"/>
        </w:rPr>
        <w:t xml:space="preserve"> </w:t>
      </w:r>
      <w:r w:rsidR="00D32F82" w:rsidRPr="008F23CC">
        <w:rPr>
          <w:rFonts w:ascii="Times New Roman" w:hAnsi="Times New Roman" w:cs="Times New Roman"/>
          <w:sz w:val="20"/>
          <w:szCs w:val="20"/>
          <w:lang w:val="en-US"/>
        </w:rPr>
        <w:t xml:space="preserve">involved in the </w:t>
      </w:r>
      <w:r w:rsidR="00401453" w:rsidRPr="008F23CC">
        <w:rPr>
          <w:rFonts w:ascii="Times New Roman" w:hAnsi="Times New Roman" w:cs="Times New Roman"/>
          <w:sz w:val="20"/>
          <w:szCs w:val="20"/>
          <w:lang w:val="en-US"/>
        </w:rPr>
        <w:t xml:space="preserve">fuel cell </w:t>
      </w:r>
      <w:r w:rsidR="00D32F82" w:rsidRPr="008F23CC">
        <w:rPr>
          <w:rFonts w:ascii="Times New Roman" w:hAnsi="Times New Roman" w:cs="Times New Roman"/>
          <w:sz w:val="20"/>
          <w:szCs w:val="20"/>
          <w:lang w:val="en-US"/>
        </w:rPr>
        <w:t>industry</w:t>
      </w:r>
      <w:r w:rsidR="00401453" w:rsidRPr="008F23CC">
        <w:rPr>
          <w:rFonts w:ascii="Times New Roman" w:hAnsi="Times New Roman" w:cs="Times New Roman"/>
          <w:sz w:val="20"/>
          <w:szCs w:val="20"/>
          <w:lang w:val="en-US"/>
        </w:rPr>
        <w:t>,</w:t>
      </w:r>
      <w:r w:rsidR="00D32F82" w:rsidRPr="008F23CC">
        <w:rPr>
          <w:rFonts w:ascii="Times New Roman" w:hAnsi="Times New Roman" w:cs="Times New Roman"/>
          <w:sz w:val="20"/>
          <w:szCs w:val="20"/>
          <w:lang w:val="en-US"/>
        </w:rPr>
        <w:t xml:space="preserve"> and reports on </w:t>
      </w:r>
      <w:r w:rsidR="002A236C" w:rsidRPr="008F23CC">
        <w:rPr>
          <w:rFonts w:ascii="Times New Roman" w:hAnsi="Times New Roman" w:cs="Times New Roman"/>
          <w:sz w:val="20"/>
          <w:szCs w:val="20"/>
          <w:lang w:val="en-US"/>
        </w:rPr>
        <w:t xml:space="preserve">a variety of key </w:t>
      </w:r>
      <w:r w:rsidRPr="008F23CC">
        <w:rPr>
          <w:rFonts w:ascii="Times New Roman" w:hAnsi="Times New Roman" w:cs="Times New Roman"/>
          <w:sz w:val="20"/>
          <w:szCs w:val="20"/>
          <w:lang w:val="en-US"/>
        </w:rPr>
        <w:t xml:space="preserve">performance </w:t>
      </w:r>
      <w:r w:rsidR="00D32F82" w:rsidRPr="008F23CC">
        <w:rPr>
          <w:rFonts w:ascii="Times New Roman" w:hAnsi="Times New Roman" w:cs="Times New Roman"/>
          <w:sz w:val="20"/>
          <w:szCs w:val="20"/>
          <w:lang w:val="en-US"/>
        </w:rPr>
        <w:t>ind</w:t>
      </w:r>
      <w:r w:rsidRPr="008F23CC">
        <w:rPr>
          <w:rFonts w:ascii="Times New Roman" w:hAnsi="Times New Roman" w:cs="Times New Roman"/>
          <w:sz w:val="20"/>
          <w:szCs w:val="20"/>
          <w:lang w:val="en-US"/>
        </w:rPr>
        <w:t xml:space="preserve">icators, </w:t>
      </w:r>
      <w:r w:rsidR="002A236C" w:rsidRPr="008F23CC">
        <w:rPr>
          <w:rFonts w:ascii="Times New Roman" w:hAnsi="Times New Roman" w:cs="Times New Roman"/>
          <w:sz w:val="20"/>
          <w:szCs w:val="20"/>
          <w:lang w:val="en-US"/>
        </w:rPr>
        <w:t>the most important among which, in case of fuel cells, seem to be:</w:t>
      </w:r>
      <w:r w:rsidRPr="008F23CC">
        <w:rPr>
          <w:rFonts w:ascii="Times New Roman" w:hAnsi="Times New Roman" w:cs="Times New Roman"/>
          <w:sz w:val="20"/>
          <w:szCs w:val="20"/>
          <w:lang w:val="en-US"/>
        </w:rPr>
        <w:t xml:space="preserve"> s</w:t>
      </w:r>
      <w:r w:rsidR="00D32F82" w:rsidRPr="008F23CC">
        <w:rPr>
          <w:rFonts w:ascii="Times New Roman" w:hAnsi="Times New Roman" w:cs="Times New Roman"/>
          <w:sz w:val="20"/>
          <w:szCs w:val="20"/>
          <w:lang w:val="en-US"/>
        </w:rPr>
        <w:t>ales</w:t>
      </w:r>
      <w:r w:rsidRPr="008F23CC">
        <w:rPr>
          <w:rFonts w:ascii="Times New Roman" w:hAnsi="Times New Roman" w:cs="Times New Roman"/>
          <w:sz w:val="20"/>
          <w:szCs w:val="20"/>
          <w:lang w:val="en-US"/>
        </w:rPr>
        <w:t xml:space="preserve"> and r</w:t>
      </w:r>
      <w:r w:rsidR="00D32F82" w:rsidRPr="008F23CC">
        <w:rPr>
          <w:rFonts w:ascii="Times New Roman" w:hAnsi="Times New Roman" w:cs="Times New Roman"/>
          <w:sz w:val="20"/>
          <w:szCs w:val="20"/>
          <w:lang w:val="en-US"/>
        </w:rPr>
        <w:t xml:space="preserve">esearch &amp; </w:t>
      </w:r>
      <w:r w:rsidRPr="008F23CC">
        <w:rPr>
          <w:rFonts w:ascii="Times New Roman" w:hAnsi="Times New Roman" w:cs="Times New Roman"/>
          <w:sz w:val="20"/>
          <w:szCs w:val="20"/>
          <w:lang w:val="en-US"/>
        </w:rPr>
        <w:t>d</w:t>
      </w:r>
      <w:r w:rsidR="00D32F82" w:rsidRPr="008F23CC">
        <w:rPr>
          <w:rFonts w:ascii="Times New Roman" w:hAnsi="Times New Roman" w:cs="Times New Roman"/>
          <w:sz w:val="20"/>
          <w:szCs w:val="20"/>
          <w:lang w:val="en-US"/>
        </w:rPr>
        <w:t xml:space="preserve">evelopment </w:t>
      </w:r>
      <w:r w:rsidRPr="008F23CC">
        <w:rPr>
          <w:rFonts w:ascii="Times New Roman" w:hAnsi="Times New Roman" w:cs="Times New Roman"/>
          <w:sz w:val="20"/>
          <w:szCs w:val="20"/>
          <w:lang w:val="en-US"/>
        </w:rPr>
        <w:t>e</w:t>
      </w:r>
      <w:r w:rsidR="00D32F82" w:rsidRPr="008F23CC">
        <w:rPr>
          <w:rFonts w:ascii="Times New Roman" w:hAnsi="Times New Roman" w:cs="Times New Roman"/>
          <w:sz w:val="20"/>
          <w:szCs w:val="20"/>
          <w:lang w:val="en-US"/>
        </w:rPr>
        <w:t>xpenditure.</w:t>
      </w:r>
      <w:r w:rsidR="006D5456" w:rsidRPr="008F23CC">
        <w:rPr>
          <w:rFonts w:ascii="Times New Roman" w:hAnsi="Times New Roman" w:cs="Times New Roman"/>
          <w:sz w:val="20"/>
          <w:szCs w:val="20"/>
          <w:lang w:val="en-US"/>
        </w:rPr>
        <w:t xml:space="preserve"> According to this survey, more than one-third of the aforementioned sample </w:t>
      </w:r>
      <w:r w:rsidR="002A236C" w:rsidRPr="008F23CC">
        <w:rPr>
          <w:rFonts w:ascii="Times New Roman" w:hAnsi="Times New Roman" w:cs="Times New Roman"/>
          <w:sz w:val="20"/>
          <w:szCs w:val="20"/>
          <w:lang w:val="en-US"/>
        </w:rPr>
        <w:t>is</w:t>
      </w:r>
      <w:r w:rsidR="006D5456" w:rsidRPr="008F23CC">
        <w:rPr>
          <w:rFonts w:ascii="Times New Roman" w:hAnsi="Times New Roman" w:cs="Times New Roman"/>
          <w:sz w:val="20"/>
          <w:szCs w:val="20"/>
          <w:lang w:val="en-US"/>
        </w:rPr>
        <w:t xml:space="preserve"> private companies, while another one-third </w:t>
      </w:r>
      <w:r w:rsidR="002A236C" w:rsidRPr="008F23CC">
        <w:rPr>
          <w:rFonts w:ascii="Times New Roman" w:hAnsi="Times New Roman" w:cs="Times New Roman"/>
          <w:sz w:val="20"/>
          <w:szCs w:val="20"/>
          <w:lang w:val="en-US"/>
        </w:rPr>
        <w:t>refers to</w:t>
      </w:r>
      <w:r w:rsidR="006D5456" w:rsidRPr="008F23CC">
        <w:rPr>
          <w:rFonts w:ascii="Times New Roman" w:hAnsi="Times New Roman" w:cs="Times New Roman"/>
          <w:sz w:val="20"/>
          <w:szCs w:val="20"/>
          <w:lang w:val="en-US"/>
        </w:rPr>
        <w:t xml:space="preserve"> public companies. Fuel cell developers and manufacturers correspond to a quarter of this sample, </w:t>
      </w:r>
      <w:r w:rsidR="00401453" w:rsidRPr="008F23CC">
        <w:rPr>
          <w:rFonts w:ascii="Times New Roman" w:hAnsi="Times New Roman" w:cs="Times New Roman"/>
          <w:sz w:val="20"/>
          <w:szCs w:val="20"/>
          <w:lang w:val="en-US"/>
        </w:rPr>
        <w:lastRenderedPageBreak/>
        <w:t>while</w:t>
      </w:r>
      <w:r w:rsidR="006D5456" w:rsidRPr="008F23CC">
        <w:rPr>
          <w:rFonts w:ascii="Times New Roman" w:hAnsi="Times New Roman" w:cs="Times New Roman"/>
          <w:sz w:val="20"/>
          <w:szCs w:val="20"/>
          <w:lang w:val="en-US"/>
        </w:rPr>
        <w:t xml:space="preserve"> about one fifth refer</w:t>
      </w:r>
      <w:r w:rsidR="002A236C" w:rsidRPr="008F23CC">
        <w:rPr>
          <w:rFonts w:ascii="Times New Roman" w:hAnsi="Times New Roman" w:cs="Times New Roman"/>
          <w:sz w:val="20"/>
          <w:szCs w:val="20"/>
          <w:lang w:val="en-US"/>
        </w:rPr>
        <w:t>s</w:t>
      </w:r>
      <w:r w:rsidR="006D5456" w:rsidRPr="008F23CC">
        <w:rPr>
          <w:rFonts w:ascii="Times New Roman" w:hAnsi="Times New Roman" w:cs="Times New Roman"/>
          <w:sz w:val="20"/>
          <w:szCs w:val="20"/>
          <w:lang w:val="en-US"/>
        </w:rPr>
        <w:t xml:space="preserve"> to research organizations </w:t>
      </w:r>
      <w:r w:rsidR="00401453" w:rsidRPr="008F23CC">
        <w:rPr>
          <w:rFonts w:ascii="Times New Roman" w:hAnsi="Times New Roman" w:cs="Times New Roman"/>
          <w:sz w:val="20"/>
          <w:szCs w:val="20"/>
          <w:lang w:val="en-US"/>
        </w:rPr>
        <w:t>and</w:t>
      </w:r>
      <w:r w:rsidR="006D5456" w:rsidRPr="008F23CC">
        <w:rPr>
          <w:rFonts w:ascii="Times New Roman" w:hAnsi="Times New Roman" w:cs="Times New Roman"/>
          <w:sz w:val="20"/>
          <w:szCs w:val="20"/>
          <w:lang w:val="en-US"/>
        </w:rPr>
        <w:t xml:space="preserve"> another fifth to suppliers to</w:t>
      </w:r>
      <w:r w:rsidR="00401453" w:rsidRPr="008F23CC">
        <w:rPr>
          <w:rFonts w:ascii="Times New Roman" w:hAnsi="Times New Roman" w:cs="Times New Roman"/>
          <w:sz w:val="20"/>
          <w:szCs w:val="20"/>
          <w:lang w:val="en-US"/>
        </w:rPr>
        <w:t>wards the</w:t>
      </w:r>
      <w:r w:rsidR="006D5456" w:rsidRPr="008F23CC">
        <w:rPr>
          <w:rFonts w:ascii="Times New Roman" w:hAnsi="Times New Roman" w:cs="Times New Roman"/>
          <w:sz w:val="20"/>
          <w:szCs w:val="20"/>
          <w:lang w:val="en-US"/>
        </w:rPr>
        <w:t xml:space="preserve"> developers or manufacturers </w:t>
      </w:r>
      <w:r w:rsidR="002A236C" w:rsidRPr="008F23CC">
        <w:rPr>
          <w:rFonts w:ascii="Times New Roman" w:hAnsi="Times New Roman" w:cs="Times New Roman"/>
          <w:sz w:val="20"/>
          <w:szCs w:val="20"/>
          <w:lang w:val="en-US"/>
        </w:rPr>
        <w:t>(Figure 7)</w:t>
      </w:r>
      <w:r w:rsidR="006D5456" w:rsidRPr="008F23CC">
        <w:rPr>
          <w:rFonts w:ascii="Times New Roman" w:hAnsi="Times New Roman" w:cs="Times New Roman"/>
          <w:sz w:val="20"/>
          <w:szCs w:val="20"/>
          <w:lang w:val="en-US"/>
        </w:rPr>
        <w:t xml:space="preserve">. </w:t>
      </w:r>
    </w:p>
    <w:p w:rsidR="000224E5" w:rsidRPr="008F23CC" w:rsidRDefault="008D159B" w:rsidP="00E7730D">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drawing>
          <wp:inline distT="0" distB="0" distL="0" distR="0">
            <wp:extent cx="5037827" cy="175195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038203" cy="1752085"/>
                    </a:xfrm>
                    <a:prstGeom prst="rect">
                      <a:avLst/>
                    </a:prstGeom>
                    <a:noFill/>
                    <a:ln w="9525">
                      <a:noFill/>
                      <a:miter lim="800000"/>
                      <a:headEnd/>
                      <a:tailEnd/>
                    </a:ln>
                  </pic:spPr>
                </pic:pic>
              </a:graphicData>
            </a:graphic>
          </wp:inline>
        </w:drawing>
      </w:r>
    </w:p>
    <w:p w:rsidR="000153F6" w:rsidRPr="008F23CC" w:rsidRDefault="00574C45" w:rsidP="00E40C28">
      <w:pPr>
        <w:widowControl w:val="0"/>
        <w:autoSpaceDE w:val="0"/>
        <w:autoSpaceDN w:val="0"/>
        <w:adjustRightInd w:val="0"/>
        <w:spacing w:after="0" w:line="240" w:lineRule="auto"/>
        <w:jc w:val="center"/>
        <w:rPr>
          <w:rFonts w:ascii="Times New Roman" w:hAnsi="Times New Roman" w:cs="Times New Roman"/>
          <w:sz w:val="20"/>
          <w:szCs w:val="20"/>
          <w:lang w:val="en-US"/>
        </w:rPr>
      </w:pPr>
      <w:r w:rsidRPr="00574C45">
        <w:rPr>
          <w:rFonts w:ascii="Times New Roman" w:hAnsi="Times New Roman" w:cs="Times New Roman"/>
          <w:noProof/>
          <w:sz w:val="20"/>
          <w:szCs w:val="20"/>
          <w:lang w:val="en-US"/>
        </w:rPr>
        <w:pict>
          <v:shape id="_x0000_s1030" type="#_x0000_t202" style="position:absolute;left:0;text-align:left;margin-left:-162.75pt;margin-top:70.8pt;width:69.9pt;height:27.35pt;z-index:251666432;mso-height-percent:200;mso-height-percent:200;mso-width-relative:margin;mso-height-relative:margin" filled="f" stroked="f">
            <v:textbox style="mso-next-textbox:#_x0000_s1030;mso-fit-shape-to-text:t">
              <w:txbxContent>
                <w:p w:rsidR="00CD2F7F" w:rsidRPr="00FE0092" w:rsidRDefault="00CD2F7F" w:rsidP="00FE0092">
                  <w:pPr>
                    <w:spacing w:after="0" w:line="180" w:lineRule="auto"/>
                    <w:jc w:val="center"/>
                    <w:rPr>
                      <w:color w:val="FDE9D9" w:themeColor="accent6" w:themeTint="33"/>
                      <w:lang w:val="en-US"/>
                    </w:rPr>
                  </w:pPr>
                  <w:r w:rsidRPr="00FE0092">
                    <w:rPr>
                      <w:color w:val="FDE9D9" w:themeColor="accent6" w:themeTint="33"/>
                      <w:lang w:val="en-US"/>
                    </w:rPr>
                    <w:t>private</w:t>
                  </w:r>
                </w:p>
                <w:p w:rsidR="00CD2F7F" w:rsidRPr="00FE0092" w:rsidRDefault="00CD2F7F" w:rsidP="00FE0092">
                  <w:pPr>
                    <w:spacing w:after="0" w:line="180" w:lineRule="auto"/>
                    <w:jc w:val="center"/>
                    <w:rPr>
                      <w:color w:val="FDE9D9" w:themeColor="accent6" w:themeTint="33"/>
                    </w:rPr>
                  </w:pPr>
                  <w:r w:rsidRPr="00FE0092">
                    <w:rPr>
                      <w:color w:val="FDE9D9" w:themeColor="accent6" w:themeTint="33"/>
                      <w:lang w:val="en-US"/>
                    </w:rPr>
                    <w:t>3</w:t>
                  </w:r>
                  <w:r>
                    <w:rPr>
                      <w:color w:val="FDE9D9" w:themeColor="accent6" w:themeTint="33"/>
                      <w:lang w:val="en-US"/>
                    </w:rPr>
                    <w:t>6</w:t>
                  </w:r>
                  <w:r w:rsidRPr="00FE0092">
                    <w:rPr>
                      <w:color w:val="FDE9D9" w:themeColor="accent6" w:themeTint="33"/>
                      <w:lang w:val="en-US"/>
                    </w:rPr>
                    <w:t>%</w:t>
                  </w:r>
                </w:p>
              </w:txbxContent>
            </v:textbox>
          </v:shape>
        </w:pict>
      </w:r>
      <w:r w:rsidR="000153F6" w:rsidRPr="008F23CC">
        <w:rPr>
          <w:rFonts w:ascii="Times New Roman" w:hAnsi="Times New Roman" w:cs="Times New Roman"/>
          <w:b/>
          <w:sz w:val="20"/>
          <w:szCs w:val="20"/>
          <w:lang w:val="en-US"/>
        </w:rPr>
        <w:t>Figure 7</w:t>
      </w:r>
      <w:r w:rsidR="000153F6" w:rsidRPr="008F23CC">
        <w:rPr>
          <w:rFonts w:ascii="Times New Roman" w:hAnsi="Times New Roman" w:cs="Times New Roman"/>
          <w:sz w:val="20"/>
          <w:szCs w:val="20"/>
          <w:lang w:val="en-US"/>
        </w:rPr>
        <w:t xml:space="preserve"> Organization type and area of expertise</w:t>
      </w:r>
      <w:r w:rsidR="00196051" w:rsidRPr="008F23CC">
        <w:rPr>
          <w:rFonts w:ascii="Times New Roman" w:hAnsi="Times New Roman" w:cs="Times New Roman"/>
          <w:sz w:val="20"/>
          <w:szCs w:val="20"/>
          <w:lang w:val="en-US"/>
        </w:rPr>
        <w:t xml:space="preserve"> of worldwide fuel cell related industry [</w:t>
      </w:r>
      <w:r w:rsidR="001710B0">
        <w:rPr>
          <w:rFonts w:ascii="Times New Roman" w:hAnsi="Times New Roman" w:cs="Times New Roman"/>
          <w:sz w:val="20"/>
          <w:szCs w:val="20"/>
          <w:lang w:val="en-US"/>
        </w:rPr>
        <w:t>38</w:t>
      </w:r>
      <w:r w:rsidR="00196051" w:rsidRPr="008F23CC">
        <w:rPr>
          <w:rFonts w:ascii="Times New Roman" w:hAnsi="Times New Roman" w:cs="Times New Roman"/>
          <w:sz w:val="20"/>
          <w:szCs w:val="20"/>
          <w:lang w:val="en-US"/>
        </w:rPr>
        <w:t>]</w:t>
      </w:r>
    </w:p>
    <w:p w:rsidR="006D5456" w:rsidRPr="008F23CC" w:rsidRDefault="006D5456" w:rsidP="006D5456">
      <w:pPr>
        <w:widowControl w:val="0"/>
        <w:autoSpaceDE w:val="0"/>
        <w:autoSpaceDN w:val="0"/>
        <w:adjustRightInd w:val="0"/>
        <w:spacing w:after="0" w:line="240" w:lineRule="auto"/>
        <w:rPr>
          <w:rFonts w:ascii="Times New Roman" w:hAnsi="Times New Roman" w:cs="Times New Roman"/>
          <w:sz w:val="20"/>
          <w:szCs w:val="20"/>
          <w:lang w:val="en-US"/>
        </w:rPr>
      </w:pPr>
    </w:p>
    <w:p w:rsidR="0015090A" w:rsidRPr="008F23CC" w:rsidRDefault="00401453" w:rsidP="00227DD3">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Fuel cell industry activities</w:t>
      </w:r>
      <w:r w:rsidR="006D5456" w:rsidRPr="008F23CC">
        <w:rPr>
          <w:rFonts w:ascii="Times New Roman" w:hAnsi="Times New Roman" w:cs="Times New Roman"/>
          <w:sz w:val="20"/>
          <w:szCs w:val="20"/>
          <w:lang w:val="en-US"/>
        </w:rPr>
        <w:t xml:space="preserve"> focus </w:t>
      </w:r>
      <w:r w:rsidRPr="008F23CC">
        <w:rPr>
          <w:rFonts w:ascii="Times New Roman" w:hAnsi="Times New Roman" w:cs="Times New Roman"/>
          <w:sz w:val="20"/>
          <w:szCs w:val="20"/>
          <w:lang w:val="en-US"/>
        </w:rPr>
        <w:t xml:space="preserve">primarily </w:t>
      </w:r>
      <w:r w:rsidR="006D5456" w:rsidRPr="008F23CC">
        <w:rPr>
          <w:rFonts w:ascii="Times New Roman" w:hAnsi="Times New Roman" w:cs="Times New Roman"/>
          <w:sz w:val="20"/>
          <w:szCs w:val="20"/>
          <w:lang w:val="en-US"/>
        </w:rPr>
        <w:t>on PEM fuel cells</w:t>
      </w:r>
      <w:r w:rsidR="002A236C" w:rsidRPr="008F23CC">
        <w:rPr>
          <w:rFonts w:ascii="Times New Roman" w:hAnsi="Times New Roman" w:cs="Times New Roman"/>
          <w:sz w:val="20"/>
          <w:szCs w:val="20"/>
          <w:lang w:val="en-US"/>
        </w:rPr>
        <w:t xml:space="preserve">, </w:t>
      </w:r>
      <w:r w:rsidR="006D5456" w:rsidRPr="008F23CC">
        <w:rPr>
          <w:rFonts w:ascii="Times New Roman" w:hAnsi="Times New Roman" w:cs="Times New Roman"/>
          <w:sz w:val="20"/>
          <w:szCs w:val="20"/>
          <w:lang w:val="en-US"/>
        </w:rPr>
        <w:t xml:space="preserve">followed by Solid Oxide Fuel Cells, </w:t>
      </w:r>
      <w:r w:rsidR="0019556C" w:rsidRPr="008F23CC">
        <w:rPr>
          <w:rFonts w:ascii="Times New Roman" w:hAnsi="Times New Roman" w:cs="Times New Roman"/>
          <w:sz w:val="20"/>
          <w:szCs w:val="20"/>
          <w:lang w:val="en-US"/>
        </w:rPr>
        <w:t xml:space="preserve">Molten Carbonate and Phosphoric Acid Fuel Cell – Figure 8.  </w:t>
      </w:r>
      <w:r w:rsidR="006D5456" w:rsidRPr="008F23CC">
        <w:rPr>
          <w:rFonts w:ascii="Times New Roman" w:hAnsi="Times New Roman" w:cs="Times New Roman"/>
          <w:sz w:val="20"/>
          <w:szCs w:val="20"/>
          <w:lang w:val="en-US"/>
        </w:rPr>
        <w:t>Small</w:t>
      </w:r>
      <w:r w:rsidR="004423B7" w:rsidRPr="008F23CC">
        <w:rPr>
          <w:rFonts w:ascii="Times New Roman" w:hAnsi="Times New Roman" w:cs="Times New Roman"/>
          <w:sz w:val="20"/>
          <w:szCs w:val="20"/>
          <w:lang w:val="en-US"/>
        </w:rPr>
        <w:t xml:space="preserve"> (&lt; 50 kW</w:t>
      </w:r>
      <w:r w:rsidR="004423B7" w:rsidRPr="008F23CC">
        <w:rPr>
          <w:rFonts w:ascii="Times New Roman" w:hAnsi="Times New Roman" w:cs="Times New Roman"/>
          <w:sz w:val="20"/>
          <w:szCs w:val="20"/>
          <w:vertAlign w:val="subscript"/>
          <w:lang w:val="en-US"/>
        </w:rPr>
        <w:t>e</w:t>
      </w:r>
      <w:r w:rsidR="004423B7" w:rsidRPr="008F23CC">
        <w:rPr>
          <w:rFonts w:ascii="Times New Roman" w:hAnsi="Times New Roman" w:cs="Times New Roman"/>
          <w:sz w:val="20"/>
          <w:szCs w:val="20"/>
          <w:lang w:val="en-US"/>
        </w:rPr>
        <w:t>) and medium</w:t>
      </w:r>
      <w:r w:rsidR="006D5456" w:rsidRPr="008F23CC">
        <w:rPr>
          <w:rFonts w:ascii="Times New Roman" w:hAnsi="Times New Roman" w:cs="Times New Roman"/>
          <w:sz w:val="20"/>
          <w:szCs w:val="20"/>
          <w:lang w:val="en-US"/>
        </w:rPr>
        <w:t xml:space="preserve"> (</w:t>
      </w:r>
      <w:r w:rsidR="004423B7" w:rsidRPr="008F23CC">
        <w:rPr>
          <w:rFonts w:ascii="Times New Roman" w:hAnsi="Times New Roman" w:cs="Times New Roman"/>
          <w:sz w:val="20"/>
          <w:szCs w:val="20"/>
          <w:lang w:val="en-US"/>
        </w:rPr>
        <w:t xml:space="preserve">&gt; </w:t>
      </w:r>
      <w:r w:rsidR="006D5456" w:rsidRPr="008F23CC">
        <w:rPr>
          <w:rFonts w:ascii="Times New Roman" w:hAnsi="Times New Roman" w:cs="Times New Roman"/>
          <w:sz w:val="20"/>
          <w:szCs w:val="20"/>
          <w:lang w:val="en-US"/>
        </w:rPr>
        <w:t>50 kW</w:t>
      </w:r>
      <w:r w:rsidR="004423B7" w:rsidRPr="008F23CC">
        <w:rPr>
          <w:rFonts w:ascii="Times New Roman" w:hAnsi="Times New Roman" w:cs="Times New Roman"/>
          <w:sz w:val="20"/>
          <w:szCs w:val="20"/>
          <w:vertAlign w:val="subscript"/>
          <w:lang w:val="en-US"/>
        </w:rPr>
        <w:t>e</w:t>
      </w:r>
      <w:r w:rsidR="006D5456" w:rsidRPr="008F23CC">
        <w:rPr>
          <w:rFonts w:ascii="Times New Roman" w:hAnsi="Times New Roman" w:cs="Times New Roman"/>
          <w:sz w:val="20"/>
          <w:szCs w:val="20"/>
          <w:lang w:val="en-US"/>
        </w:rPr>
        <w:t xml:space="preserve">) </w:t>
      </w:r>
      <w:r w:rsidR="004423B7" w:rsidRPr="008F23CC">
        <w:rPr>
          <w:rFonts w:ascii="Times New Roman" w:hAnsi="Times New Roman" w:cs="Times New Roman"/>
          <w:sz w:val="20"/>
          <w:szCs w:val="20"/>
          <w:lang w:val="en-US"/>
        </w:rPr>
        <w:t xml:space="preserve">stationary power generation, </w:t>
      </w:r>
      <w:r w:rsidR="006D5456" w:rsidRPr="008F23CC">
        <w:rPr>
          <w:rFonts w:ascii="Times New Roman" w:hAnsi="Times New Roman" w:cs="Times New Roman"/>
          <w:sz w:val="20"/>
          <w:szCs w:val="20"/>
          <w:lang w:val="en-US"/>
        </w:rPr>
        <w:t xml:space="preserve">were revealed as the main focus </w:t>
      </w:r>
      <w:r w:rsidR="004423B7" w:rsidRPr="008F23CC">
        <w:rPr>
          <w:rFonts w:ascii="Times New Roman" w:hAnsi="Times New Roman" w:cs="Times New Roman"/>
          <w:sz w:val="20"/>
          <w:szCs w:val="20"/>
          <w:lang w:val="en-US"/>
        </w:rPr>
        <w:t>of</w:t>
      </w:r>
      <w:r w:rsidR="006D5456" w:rsidRPr="008F23CC">
        <w:rPr>
          <w:rFonts w:ascii="Times New Roman" w:hAnsi="Times New Roman" w:cs="Times New Roman"/>
          <w:sz w:val="20"/>
          <w:szCs w:val="20"/>
          <w:lang w:val="en-US"/>
        </w:rPr>
        <w:t xml:space="preserve"> almost 4</w:t>
      </w:r>
      <w:r w:rsidR="004423B7" w:rsidRPr="008F23CC">
        <w:rPr>
          <w:rFonts w:ascii="Times New Roman" w:hAnsi="Times New Roman" w:cs="Times New Roman"/>
          <w:sz w:val="20"/>
          <w:szCs w:val="20"/>
          <w:lang w:val="en-US"/>
        </w:rPr>
        <w:t>0 %</w:t>
      </w:r>
      <w:r w:rsidR="006D5456" w:rsidRPr="008F23CC">
        <w:rPr>
          <w:rFonts w:ascii="Times New Roman" w:hAnsi="Times New Roman" w:cs="Times New Roman"/>
          <w:sz w:val="20"/>
          <w:szCs w:val="20"/>
          <w:lang w:val="en-US"/>
        </w:rPr>
        <w:t xml:space="preserve"> of </w:t>
      </w:r>
      <w:r w:rsidR="002D3FD6" w:rsidRPr="008F23CC">
        <w:rPr>
          <w:rFonts w:ascii="Times New Roman" w:hAnsi="Times New Roman" w:cs="Times New Roman"/>
          <w:sz w:val="20"/>
          <w:szCs w:val="20"/>
          <w:lang w:val="en-US"/>
        </w:rPr>
        <w:t xml:space="preserve">the </w:t>
      </w:r>
      <w:r w:rsidR="006D5456" w:rsidRPr="008F23CC">
        <w:rPr>
          <w:rFonts w:ascii="Times New Roman" w:hAnsi="Times New Roman" w:cs="Times New Roman"/>
          <w:sz w:val="20"/>
          <w:szCs w:val="20"/>
          <w:lang w:val="en-US"/>
        </w:rPr>
        <w:t>respondents</w:t>
      </w:r>
      <w:r w:rsidR="002D3FD6" w:rsidRPr="008F23CC">
        <w:rPr>
          <w:rFonts w:ascii="Times New Roman" w:hAnsi="Times New Roman" w:cs="Times New Roman"/>
          <w:sz w:val="20"/>
          <w:szCs w:val="20"/>
          <w:lang w:val="en-US"/>
        </w:rPr>
        <w:t xml:space="preserve"> to the </w:t>
      </w:r>
      <w:r w:rsidR="00EC3ACF" w:rsidRPr="008F23CC">
        <w:rPr>
          <w:rFonts w:ascii="Times New Roman" w:hAnsi="Times New Roman" w:cs="Times New Roman"/>
          <w:sz w:val="20"/>
          <w:szCs w:val="20"/>
          <w:lang w:val="en-US"/>
        </w:rPr>
        <w:t>s</w:t>
      </w:r>
      <w:r w:rsidR="002D3FD6" w:rsidRPr="008F23CC">
        <w:rPr>
          <w:rFonts w:ascii="Times New Roman" w:hAnsi="Times New Roman" w:cs="Times New Roman"/>
          <w:sz w:val="20"/>
          <w:szCs w:val="20"/>
          <w:lang w:val="en-US"/>
        </w:rPr>
        <w:t>urvey</w:t>
      </w:r>
      <w:r w:rsidR="006D5456" w:rsidRPr="008F23CC">
        <w:rPr>
          <w:rFonts w:ascii="Times New Roman" w:hAnsi="Times New Roman" w:cs="Times New Roman"/>
          <w:sz w:val="20"/>
          <w:szCs w:val="20"/>
          <w:lang w:val="en-US"/>
        </w:rPr>
        <w:t xml:space="preserve">, followed by portable </w:t>
      </w:r>
      <w:r w:rsidR="004423B7" w:rsidRPr="008F23CC">
        <w:rPr>
          <w:rFonts w:ascii="Times New Roman" w:hAnsi="Times New Roman" w:cs="Times New Roman"/>
          <w:sz w:val="20"/>
          <w:szCs w:val="20"/>
          <w:lang w:val="en-US"/>
        </w:rPr>
        <w:t>and vehicle fuel cell applications</w:t>
      </w:r>
      <w:r w:rsidR="0015090A" w:rsidRPr="008F23CC">
        <w:rPr>
          <w:rFonts w:ascii="Times New Roman" w:hAnsi="Times New Roman" w:cs="Times New Roman"/>
          <w:sz w:val="20"/>
          <w:szCs w:val="20"/>
          <w:lang w:val="en-US"/>
        </w:rPr>
        <w:t xml:space="preserve"> [</w:t>
      </w:r>
      <w:r w:rsidR="00A45BB2">
        <w:rPr>
          <w:rFonts w:ascii="Times New Roman" w:hAnsi="Times New Roman" w:cs="Times New Roman"/>
          <w:sz w:val="20"/>
          <w:szCs w:val="20"/>
          <w:lang w:val="en-US"/>
        </w:rPr>
        <w:t>3</w:t>
      </w:r>
      <w:r w:rsidR="001710B0">
        <w:rPr>
          <w:rFonts w:ascii="Times New Roman" w:hAnsi="Times New Roman" w:cs="Times New Roman"/>
          <w:sz w:val="20"/>
          <w:szCs w:val="20"/>
          <w:lang w:val="en-US"/>
        </w:rPr>
        <w:t>8</w:t>
      </w:r>
      <w:r w:rsidR="0015090A" w:rsidRPr="008F23CC">
        <w:rPr>
          <w:rFonts w:ascii="Times New Roman" w:hAnsi="Times New Roman" w:cs="Times New Roman"/>
          <w:sz w:val="20"/>
          <w:szCs w:val="20"/>
          <w:lang w:val="en-US"/>
        </w:rPr>
        <w:t>]</w:t>
      </w:r>
      <w:r w:rsidR="006D5456" w:rsidRPr="008F23CC">
        <w:rPr>
          <w:rFonts w:ascii="Times New Roman" w:hAnsi="Times New Roman" w:cs="Times New Roman"/>
          <w:sz w:val="20"/>
          <w:szCs w:val="20"/>
          <w:lang w:val="en-US"/>
        </w:rPr>
        <w:t xml:space="preserve">. </w:t>
      </w:r>
      <w:r w:rsidR="0015090A" w:rsidRPr="008F23CC">
        <w:rPr>
          <w:rFonts w:ascii="Times New Roman" w:hAnsi="Times New Roman" w:cs="Times New Roman"/>
          <w:sz w:val="20"/>
          <w:szCs w:val="20"/>
          <w:lang w:val="en-US"/>
        </w:rPr>
        <w:t>Proton exchange membrane fuel cells are the technology of choice for the transportation sector and also represent 70</w:t>
      </w:r>
      <w:r w:rsidR="00EC3ACF" w:rsidRPr="008F23CC">
        <w:rPr>
          <w:rFonts w:ascii="Times New Roman" w:hAnsi="Times New Roman" w:cs="Times New Roman"/>
          <w:sz w:val="20"/>
          <w:szCs w:val="20"/>
          <w:lang w:val="en-US"/>
        </w:rPr>
        <w:t xml:space="preserve"> – </w:t>
      </w:r>
      <w:r w:rsidR="0015090A" w:rsidRPr="008F23CC">
        <w:rPr>
          <w:rFonts w:ascii="Times New Roman" w:hAnsi="Times New Roman" w:cs="Times New Roman"/>
          <w:sz w:val="20"/>
          <w:szCs w:val="20"/>
          <w:lang w:val="en-US"/>
        </w:rPr>
        <w:t>80</w:t>
      </w:r>
      <w:r w:rsidR="00EC3ACF" w:rsidRPr="008F23CC">
        <w:rPr>
          <w:rFonts w:ascii="Times New Roman" w:hAnsi="Times New Roman" w:cs="Times New Roman"/>
          <w:sz w:val="20"/>
          <w:szCs w:val="20"/>
          <w:lang w:val="en-US"/>
        </w:rPr>
        <w:t xml:space="preserve"> </w:t>
      </w:r>
      <w:r w:rsidR="0015090A" w:rsidRPr="008F23CC">
        <w:rPr>
          <w:rFonts w:ascii="Times New Roman" w:hAnsi="Times New Roman" w:cs="Times New Roman"/>
          <w:sz w:val="20"/>
          <w:szCs w:val="20"/>
          <w:lang w:val="en-US"/>
        </w:rPr>
        <w:t>% of the current small-scale stationary fuel cell market. Solid oxide fuel cells represent 15</w:t>
      </w:r>
      <w:r w:rsidR="00EC3ACF" w:rsidRPr="008F23CC">
        <w:rPr>
          <w:rFonts w:ascii="Times New Roman" w:hAnsi="Times New Roman" w:cs="Times New Roman"/>
          <w:sz w:val="20"/>
          <w:szCs w:val="20"/>
          <w:lang w:val="en-US"/>
        </w:rPr>
        <w:t xml:space="preserve"> – </w:t>
      </w:r>
      <w:r w:rsidR="0015090A" w:rsidRPr="008F23CC">
        <w:rPr>
          <w:rFonts w:ascii="Times New Roman" w:hAnsi="Times New Roman" w:cs="Times New Roman"/>
          <w:sz w:val="20"/>
          <w:szCs w:val="20"/>
          <w:lang w:val="en-US"/>
        </w:rPr>
        <w:t>20</w:t>
      </w:r>
      <w:r w:rsidR="00EC3ACF" w:rsidRPr="008F23CC">
        <w:rPr>
          <w:rFonts w:ascii="Times New Roman" w:hAnsi="Times New Roman" w:cs="Times New Roman"/>
          <w:sz w:val="20"/>
          <w:szCs w:val="20"/>
          <w:lang w:val="en-US"/>
        </w:rPr>
        <w:t xml:space="preserve"> </w:t>
      </w:r>
      <w:r w:rsidR="0015090A" w:rsidRPr="008F23CC">
        <w:rPr>
          <w:rFonts w:ascii="Times New Roman" w:hAnsi="Times New Roman" w:cs="Times New Roman"/>
          <w:sz w:val="20"/>
          <w:szCs w:val="20"/>
          <w:lang w:val="en-US"/>
        </w:rPr>
        <w:t xml:space="preserve">% of the stationary market, </w:t>
      </w:r>
      <w:r w:rsidR="00EC3ACF" w:rsidRPr="008F23CC">
        <w:rPr>
          <w:rFonts w:ascii="Times New Roman" w:hAnsi="Times New Roman" w:cs="Times New Roman"/>
          <w:sz w:val="20"/>
          <w:szCs w:val="20"/>
          <w:lang w:val="en-US"/>
        </w:rPr>
        <w:t>and</w:t>
      </w:r>
      <w:r w:rsidR="0015090A" w:rsidRPr="008F23CC">
        <w:rPr>
          <w:rFonts w:ascii="Times New Roman" w:hAnsi="Times New Roman" w:cs="Times New Roman"/>
          <w:sz w:val="20"/>
          <w:szCs w:val="20"/>
          <w:lang w:val="en-US"/>
        </w:rPr>
        <w:t xml:space="preserve"> their share is projected to increase. Phosphoric acid fuel cells dominated the large-scale stationary market until 2002, but molten carbonate fuel cells are expected to take most of this market in the period 2005-2015, along with a gradually increasing </w:t>
      </w:r>
      <w:r w:rsidR="00A45BB2">
        <w:rPr>
          <w:rFonts w:ascii="Times New Roman" w:hAnsi="Times New Roman" w:cs="Times New Roman"/>
          <w:sz w:val="20"/>
          <w:szCs w:val="20"/>
          <w:lang w:val="en-US"/>
        </w:rPr>
        <w:t xml:space="preserve">share of SOFCs </w:t>
      </w:r>
      <w:r w:rsidR="0015090A" w:rsidRPr="008F23CC">
        <w:rPr>
          <w:rFonts w:ascii="Times New Roman" w:hAnsi="Times New Roman" w:cs="Times New Roman"/>
          <w:sz w:val="20"/>
          <w:szCs w:val="20"/>
          <w:lang w:val="en-US"/>
        </w:rPr>
        <w:t>[</w:t>
      </w:r>
      <w:r w:rsidR="00A45BB2">
        <w:rPr>
          <w:rFonts w:ascii="Times New Roman" w:hAnsi="Times New Roman" w:cs="Times New Roman"/>
          <w:sz w:val="20"/>
          <w:szCs w:val="20"/>
          <w:lang w:val="en-US"/>
        </w:rPr>
        <w:t>2</w:t>
      </w:r>
      <w:r w:rsidR="0015090A" w:rsidRPr="008F23CC">
        <w:rPr>
          <w:rFonts w:ascii="Times New Roman" w:hAnsi="Times New Roman" w:cs="Times New Roman"/>
          <w:sz w:val="20"/>
          <w:szCs w:val="20"/>
          <w:lang w:val="en-US"/>
        </w:rPr>
        <w:t>]</w:t>
      </w:r>
      <w:r w:rsidR="00A45BB2">
        <w:rPr>
          <w:rFonts w:ascii="Times New Roman" w:hAnsi="Times New Roman" w:cs="Times New Roman"/>
          <w:sz w:val="20"/>
          <w:szCs w:val="20"/>
          <w:lang w:val="en-US"/>
        </w:rPr>
        <w:t>.</w:t>
      </w:r>
    </w:p>
    <w:p w:rsidR="00A13F10" w:rsidRPr="008F23CC" w:rsidRDefault="008D159B" w:rsidP="008D159B">
      <w:pPr>
        <w:widowControl w:val="0"/>
        <w:autoSpaceDE w:val="0"/>
        <w:autoSpaceDN w:val="0"/>
        <w:adjustRightInd w:val="0"/>
        <w:spacing w:after="0" w:line="240" w:lineRule="auto"/>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drawing>
          <wp:inline distT="0" distB="0" distL="0" distR="0">
            <wp:extent cx="5538159" cy="203583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5539285" cy="2036248"/>
                    </a:xfrm>
                    <a:prstGeom prst="rect">
                      <a:avLst/>
                    </a:prstGeom>
                    <a:noFill/>
                    <a:ln w="9525">
                      <a:noFill/>
                      <a:miter lim="800000"/>
                      <a:headEnd/>
                      <a:tailEnd/>
                    </a:ln>
                  </pic:spPr>
                </pic:pic>
              </a:graphicData>
            </a:graphic>
          </wp:inline>
        </w:drawing>
      </w:r>
    </w:p>
    <w:p w:rsidR="00196051" w:rsidRPr="008F23CC" w:rsidRDefault="00196051" w:rsidP="0019605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8</w:t>
      </w:r>
      <w:r w:rsidRPr="008F23CC">
        <w:rPr>
          <w:rFonts w:ascii="Times New Roman" w:hAnsi="Times New Roman" w:cs="Times New Roman"/>
          <w:sz w:val="20"/>
          <w:szCs w:val="20"/>
          <w:lang w:val="en-US"/>
        </w:rPr>
        <w:t xml:space="preserve"> Technology and market focus of worldwide fuel cell related industry [</w:t>
      </w:r>
      <w:r w:rsidR="001710B0">
        <w:rPr>
          <w:rFonts w:ascii="Times New Roman" w:hAnsi="Times New Roman" w:cs="Times New Roman"/>
          <w:sz w:val="20"/>
          <w:szCs w:val="20"/>
          <w:lang w:val="en-US"/>
        </w:rPr>
        <w:t>38</w:t>
      </w:r>
      <w:r w:rsidRPr="008F23CC">
        <w:rPr>
          <w:rFonts w:ascii="Times New Roman" w:hAnsi="Times New Roman" w:cs="Times New Roman"/>
          <w:sz w:val="20"/>
          <w:szCs w:val="20"/>
          <w:lang w:val="en-US"/>
        </w:rPr>
        <w:t>]</w:t>
      </w:r>
    </w:p>
    <w:p w:rsidR="00196051" w:rsidRPr="008F23CC" w:rsidRDefault="00196051" w:rsidP="00314FD9">
      <w:pPr>
        <w:widowControl w:val="0"/>
        <w:autoSpaceDE w:val="0"/>
        <w:autoSpaceDN w:val="0"/>
        <w:adjustRightInd w:val="0"/>
        <w:spacing w:after="0" w:line="240" w:lineRule="auto"/>
        <w:rPr>
          <w:rFonts w:ascii="Times New Roman" w:hAnsi="Times New Roman" w:cs="Times New Roman"/>
          <w:sz w:val="20"/>
          <w:szCs w:val="20"/>
          <w:lang w:val="en-US"/>
        </w:rPr>
      </w:pPr>
    </w:p>
    <w:p w:rsidR="00E7730D" w:rsidRPr="008F23CC" w:rsidRDefault="002D3FD6" w:rsidP="00227DD3">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Almost 70</w:t>
      </w:r>
      <w:r w:rsidR="004423B7"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 of the respondents reported headquarters of fuel cell activities in </w:t>
      </w:r>
      <w:r w:rsidR="00EC3ACF" w:rsidRPr="008F23CC">
        <w:rPr>
          <w:rFonts w:ascii="Times New Roman" w:hAnsi="Times New Roman" w:cs="Times New Roman"/>
          <w:sz w:val="20"/>
          <w:szCs w:val="20"/>
          <w:lang w:val="en-US"/>
        </w:rPr>
        <w:t>United States and Canada</w:t>
      </w:r>
      <w:r w:rsidR="004423B7" w:rsidRPr="008F23CC">
        <w:rPr>
          <w:rFonts w:ascii="Times New Roman" w:hAnsi="Times New Roman" w:cs="Times New Roman"/>
          <w:sz w:val="20"/>
          <w:szCs w:val="20"/>
          <w:lang w:val="en-US"/>
        </w:rPr>
        <w:t xml:space="preserve">, with the rest 30 % </w:t>
      </w:r>
      <w:r w:rsidR="00EC3ACF" w:rsidRPr="008F23CC">
        <w:rPr>
          <w:rFonts w:ascii="Times New Roman" w:hAnsi="Times New Roman" w:cs="Times New Roman"/>
          <w:sz w:val="20"/>
          <w:szCs w:val="20"/>
          <w:lang w:val="en-US"/>
        </w:rPr>
        <w:t xml:space="preserve">is </w:t>
      </w:r>
      <w:r w:rsidR="004423B7" w:rsidRPr="008F23CC">
        <w:rPr>
          <w:rFonts w:ascii="Times New Roman" w:hAnsi="Times New Roman" w:cs="Times New Roman"/>
          <w:sz w:val="20"/>
          <w:szCs w:val="20"/>
          <w:lang w:val="en-US"/>
        </w:rPr>
        <w:t xml:space="preserve">shared </w:t>
      </w:r>
      <w:r w:rsidRPr="008F23CC">
        <w:rPr>
          <w:rFonts w:ascii="Times New Roman" w:hAnsi="Times New Roman" w:cs="Times New Roman"/>
          <w:sz w:val="20"/>
          <w:szCs w:val="20"/>
          <w:lang w:val="en-US"/>
        </w:rPr>
        <w:t>by</w:t>
      </w:r>
      <w:r w:rsidR="004423B7" w:rsidRPr="008F23CC">
        <w:rPr>
          <w:rFonts w:ascii="Times New Roman" w:hAnsi="Times New Roman" w:cs="Times New Roman"/>
          <w:sz w:val="20"/>
          <w:szCs w:val="20"/>
          <w:lang w:val="en-US"/>
        </w:rPr>
        <w:t xml:space="preserve"> EU, Japan and Australia</w:t>
      </w:r>
      <w:r w:rsidR="00EC3ACF" w:rsidRPr="008F23CC">
        <w:rPr>
          <w:rFonts w:ascii="Times New Roman" w:hAnsi="Times New Roman" w:cs="Times New Roman"/>
          <w:sz w:val="20"/>
          <w:szCs w:val="20"/>
          <w:lang w:val="en-US"/>
        </w:rPr>
        <w:t xml:space="preserve"> </w:t>
      </w:r>
      <w:r w:rsidR="00E7730D" w:rsidRPr="008F23CC">
        <w:rPr>
          <w:rFonts w:ascii="Times New Roman" w:hAnsi="Times New Roman" w:cs="Times New Roman"/>
          <w:sz w:val="20"/>
          <w:szCs w:val="20"/>
          <w:lang w:val="en-US"/>
        </w:rPr>
        <w:t>– Figure 9</w:t>
      </w:r>
      <w:r w:rsidRPr="008F23CC">
        <w:rPr>
          <w:rFonts w:ascii="Times New Roman" w:hAnsi="Times New Roman" w:cs="Times New Roman"/>
          <w:sz w:val="20"/>
          <w:szCs w:val="20"/>
          <w:lang w:val="en-US"/>
        </w:rPr>
        <w:t xml:space="preserve">. </w:t>
      </w:r>
      <w:r w:rsidR="00E7730D" w:rsidRPr="008F23CC">
        <w:rPr>
          <w:rFonts w:ascii="Times New Roman" w:hAnsi="Times New Roman" w:cs="Times New Roman"/>
          <w:sz w:val="20"/>
          <w:szCs w:val="20"/>
          <w:lang w:val="en-US"/>
        </w:rPr>
        <w:t>R</w:t>
      </w:r>
      <w:r w:rsidRPr="008F23CC">
        <w:rPr>
          <w:rFonts w:ascii="Times New Roman" w:hAnsi="Times New Roman" w:cs="Times New Roman"/>
          <w:sz w:val="20"/>
          <w:szCs w:val="20"/>
          <w:lang w:val="en-US"/>
        </w:rPr>
        <w:t>eported fuel cell</w:t>
      </w:r>
      <w:r w:rsidR="00E7730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related</w:t>
      </w:r>
      <w:r w:rsidR="00E7730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sales increased 7% </w:t>
      </w:r>
      <w:r w:rsidR="00E7730D" w:rsidRPr="008F23CC">
        <w:rPr>
          <w:rFonts w:ascii="Times New Roman" w:hAnsi="Times New Roman" w:cs="Times New Roman"/>
          <w:sz w:val="20"/>
          <w:szCs w:val="20"/>
          <w:lang w:val="en-US"/>
        </w:rPr>
        <w:t>(</w:t>
      </w:r>
      <w:r w:rsidR="00EC3ACF" w:rsidRPr="008F23CC">
        <w:rPr>
          <w:rFonts w:ascii="Times New Roman" w:hAnsi="Times New Roman" w:cs="Times New Roman"/>
          <w:sz w:val="20"/>
          <w:szCs w:val="20"/>
          <w:lang w:val="en-US"/>
        </w:rPr>
        <w:t xml:space="preserve">from </w:t>
      </w:r>
      <w:r w:rsidR="00E7730D" w:rsidRPr="008F23CC">
        <w:rPr>
          <w:rFonts w:ascii="Times New Roman" w:hAnsi="Times New Roman" w:cs="Times New Roman"/>
          <w:sz w:val="20"/>
          <w:szCs w:val="20"/>
          <w:lang w:val="en-US"/>
        </w:rPr>
        <w:t>236</w:t>
      </w:r>
      <w:r w:rsidRPr="008F23CC">
        <w:rPr>
          <w:rFonts w:ascii="Times New Roman" w:hAnsi="Times New Roman" w:cs="Times New Roman"/>
          <w:sz w:val="20"/>
          <w:szCs w:val="20"/>
          <w:lang w:val="en-US"/>
        </w:rPr>
        <w:t xml:space="preserve"> million</w:t>
      </w:r>
      <w:r w:rsidR="00E7730D" w:rsidRPr="008F23CC">
        <w:rPr>
          <w:rFonts w:ascii="Times New Roman" w:hAnsi="Times New Roman" w:cs="Times New Roman"/>
          <w:sz w:val="20"/>
          <w:szCs w:val="20"/>
          <w:lang w:val="en-US"/>
        </w:rPr>
        <w:t xml:space="preserve"> € in 2004 to 252</w:t>
      </w:r>
      <w:r w:rsidRPr="008F23CC">
        <w:rPr>
          <w:rFonts w:ascii="Times New Roman" w:hAnsi="Times New Roman" w:cs="Times New Roman"/>
          <w:sz w:val="20"/>
          <w:szCs w:val="20"/>
          <w:lang w:val="en-US"/>
        </w:rPr>
        <w:t xml:space="preserve"> million</w:t>
      </w:r>
      <w:r w:rsidR="00E7730D"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 in 2005</w:t>
      </w:r>
      <w:r w:rsidR="00E7730D" w:rsidRPr="008F23CC">
        <w:rPr>
          <w:rFonts w:ascii="Times New Roman" w:hAnsi="Times New Roman" w:cs="Times New Roman"/>
          <w:sz w:val="20"/>
          <w:szCs w:val="20"/>
          <w:lang w:val="en-US"/>
        </w:rPr>
        <w:t>) – Figure 10</w:t>
      </w:r>
      <w:r w:rsidRPr="008F23CC">
        <w:rPr>
          <w:rFonts w:ascii="Times New Roman" w:hAnsi="Times New Roman" w:cs="Times New Roman"/>
          <w:sz w:val="20"/>
          <w:szCs w:val="20"/>
          <w:lang w:val="en-US"/>
        </w:rPr>
        <w:t xml:space="preserve">. </w:t>
      </w:r>
      <w:r w:rsidR="00E7730D" w:rsidRPr="008F23CC">
        <w:rPr>
          <w:rFonts w:ascii="Times New Roman" w:hAnsi="Times New Roman" w:cs="Times New Roman"/>
          <w:sz w:val="20"/>
          <w:szCs w:val="20"/>
          <w:lang w:val="en-US"/>
        </w:rPr>
        <w:t>Total R&amp;D expenditure increased by 11%, from 2004 to 2005 (511 million € and 569 million €, respectively</w:t>
      </w:r>
      <w:r w:rsidR="0015090A" w:rsidRPr="008F23CC">
        <w:rPr>
          <w:rFonts w:ascii="Times New Roman" w:hAnsi="Times New Roman" w:cs="Times New Roman"/>
          <w:sz w:val="20"/>
          <w:szCs w:val="20"/>
          <w:lang w:val="en-US"/>
        </w:rPr>
        <w:t>) – over 70 % allocate</w:t>
      </w:r>
      <w:r w:rsidR="00EC3ACF" w:rsidRPr="008F23CC">
        <w:rPr>
          <w:rFonts w:ascii="Times New Roman" w:hAnsi="Times New Roman" w:cs="Times New Roman"/>
          <w:sz w:val="20"/>
          <w:szCs w:val="20"/>
          <w:lang w:val="en-US"/>
        </w:rPr>
        <w:t xml:space="preserve">d in North America (Figure 11), while the overall </w:t>
      </w:r>
      <w:r w:rsidR="00E7730D" w:rsidRPr="008F23CC">
        <w:rPr>
          <w:rFonts w:ascii="Times New Roman" w:hAnsi="Times New Roman" w:cs="Times New Roman"/>
          <w:sz w:val="20"/>
          <w:szCs w:val="20"/>
          <w:lang w:val="en-US"/>
        </w:rPr>
        <w:t>results suggest a growing industry</w:t>
      </w:r>
      <w:r w:rsidR="00EC3ACF" w:rsidRPr="008F23CC">
        <w:rPr>
          <w:rFonts w:ascii="Times New Roman" w:hAnsi="Times New Roman" w:cs="Times New Roman"/>
          <w:sz w:val="20"/>
          <w:szCs w:val="20"/>
          <w:lang w:val="en-US"/>
        </w:rPr>
        <w:t>,</w:t>
      </w:r>
      <w:r w:rsidR="00E7730D" w:rsidRPr="008F23CC">
        <w:rPr>
          <w:rFonts w:ascii="Times New Roman" w:hAnsi="Times New Roman" w:cs="Times New Roman"/>
          <w:sz w:val="20"/>
          <w:szCs w:val="20"/>
          <w:lang w:val="en-US"/>
        </w:rPr>
        <w:t xml:space="preserve"> increasingly committed to the research and development needed for wide-spread fuel cell commercialization.</w:t>
      </w:r>
    </w:p>
    <w:p w:rsidR="00272FC0" w:rsidRPr="008F23CC" w:rsidRDefault="00272FC0" w:rsidP="00227DD3">
      <w:pPr>
        <w:widowControl w:val="0"/>
        <w:autoSpaceDE w:val="0"/>
        <w:autoSpaceDN w:val="0"/>
        <w:adjustRightInd w:val="0"/>
        <w:spacing w:after="0" w:line="240" w:lineRule="auto"/>
        <w:ind w:firstLine="426"/>
        <w:jc w:val="both"/>
        <w:rPr>
          <w:rFonts w:ascii="Times New Roman" w:hAnsi="Times New Roman" w:cs="Times New Roman"/>
          <w:bCs/>
          <w:sz w:val="20"/>
          <w:szCs w:val="20"/>
          <w:lang w:val="en-US"/>
        </w:rPr>
      </w:pPr>
      <w:r w:rsidRPr="008F23CC">
        <w:rPr>
          <w:rFonts w:ascii="Times New Roman" w:hAnsi="Times New Roman" w:cs="Times New Roman"/>
          <w:bCs/>
          <w:sz w:val="20"/>
          <w:szCs w:val="20"/>
          <w:lang w:val="en-US"/>
        </w:rPr>
        <w:t>PricewaterhouseCoopers similar survey (referring to a sample of 23 fuel cell related industries), reports an almost 20 % increase of gross revenue (from 158 million € in 2004 to 190 million € in 2005), which corresponds to a restriction of the net losses of the fuel cell related activities by almost 20 % (from 321 million € in 2004 to 261 million € in 2005). It is worth to notice that the R&amp;D expenditures are reported at 150 million €/a, and that the total assets of this industry sample were increased, from 2004 to 2005, by another 20 % (from 1.1 to 1.3 billion €) [</w:t>
      </w:r>
      <w:r w:rsidR="00A45BB2">
        <w:rPr>
          <w:rFonts w:ascii="Times New Roman" w:hAnsi="Times New Roman" w:cs="Times New Roman"/>
          <w:bCs/>
          <w:sz w:val="20"/>
          <w:szCs w:val="20"/>
          <w:lang w:val="en-US"/>
        </w:rPr>
        <w:t>3</w:t>
      </w:r>
      <w:r w:rsidR="001710B0">
        <w:rPr>
          <w:rFonts w:ascii="Times New Roman" w:hAnsi="Times New Roman" w:cs="Times New Roman"/>
          <w:bCs/>
          <w:sz w:val="20"/>
          <w:szCs w:val="20"/>
          <w:lang w:val="en-US"/>
        </w:rPr>
        <w:t>7</w:t>
      </w:r>
      <w:r w:rsidRPr="008F23CC">
        <w:rPr>
          <w:rFonts w:ascii="Times New Roman" w:hAnsi="Times New Roman" w:cs="Times New Roman"/>
          <w:bCs/>
          <w:sz w:val="20"/>
          <w:szCs w:val="20"/>
          <w:lang w:val="en-US"/>
        </w:rPr>
        <w:t xml:space="preserve">]. </w:t>
      </w:r>
    </w:p>
    <w:p w:rsidR="008C4692" w:rsidRPr="008F23CC" w:rsidRDefault="00AC0E63" w:rsidP="002B56C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lastRenderedPageBreak/>
        <w:drawing>
          <wp:inline distT="0" distB="0" distL="0" distR="0">
            <wp:extent cx="4848045" cy="2221209"/>
            <wp:effectExtent l="0" t="0" r="0" b="0"/>
            <wp:docPr id="32"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4848225" cy="2221291"/>
                    </a:xfrm>
                    <a:prstGeom prst="rect">
                      <a:avLst/>
                    </a:prstGeom>
                    <a:noFill/>
                    <a:ln w="9525">
                      <a:noFill/>
                      <a:miter lim="800000"/>
                      <a:headEnd/>
                      <a:tailEnd/>
                    </a:ln>
                  </pic:spPr>
                </pic:pic>
              </a:graphicData>
            </a:graphic>
          </wp:inline>
        </w:drawing>
      </w:r>
    </w:p>
    <w:p w:rsidR="00196051" w:rsidRPr="008F23CC" w:rsidRDefault="00196051" w:rsidP="0019605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9</w:t>
      </w:r>
      <w:r w:rsidRPr="008F23CC">
        <w:rPr>
          <w:rFonts w:ascii="Times New Roman" w:hAnsi="Times New Roman" w:cs="Times New Roman"/>
          <w:sz w:val="20"/>
          <w:szCs w:val="20"/>
          <w:lang w:val="en-US"/>
        </w:rPr>
        <w:t xml:space="preserve"> </w:t>
      </w:r>
      <w:r w:rsidR="009230BC" w:rsidRPr="008F23CC">
        <w:rPr>
          <w:rFonts w:ascii="Times New Roman" w:hAnsi="Times New Roman" w:cs="Times New Roman"/>
          <w:sz w:val="20"/>
          <w:szCs w:val="20"/>
          <w:lang w:val="en-US"/>
        </w:rPr>
        <w:t>D</w:t>
      </w:r>
      <w:r w:rsidRPr="008F23CC">
        <w:rPr>
          <w:rFonts w:ascii="Times New Roman" w:hAnsi="Times New Roman" w:cs="Times New Roman"/>
          <w:sz w:val="20"/>
          <w:szCs w:val="20"/>
          <w:lang w:val="en-US"/>
        </w:rPr>
        <w:t>istribution of manufacturing and R&amp;</w:t>
      </w:r>
      <w:r w:rsidR="009230BC" w:rsidRPr="008F23CC">
        <w:rPr>
          <w:rFonts w:ascii="Times New Roman" w:hAnsi="Times New Roman" w:cs="Times New Roman"/>
          <w:sz w:val="20"/>
          <w:szCs w:val="20"/>
          <w:lang w:val="en-US"/>
        </w:rPr>
        <w:t>D</w:t>
      </w:r>
      <w:r w:rsidRPr="008F23CC">
        <w:rPr>
          <w:rFonts w:ascii="Times New Roman" w:hAnsi="Times New Roman" w:cs="Times New Roman"/>
          <w:sz w:val="20"/>
          <w:szCs w:val="20"/>
          <w:lang w:val="en-US"/>
        </w:rPr>
        <w:t xml:space="preserve"> activities [</w:t>
      </w:r>
      <w:r w:rsidR="001710B0">
        <w:rPr>
          <w:rFonts w:ascii="Times New Roman" w:hAnsi="Times New Roman" w:cs="Times New Roman"/>
          <w:sz w:val="20"/>
          <w:szCs w:val="20"/>
          <w:lang w:val="en-US"/>
        </w:rPr>
        <w:t>38</w:t>
      </w:r>
      <w:r w:rsidRPr="008F23CC">
        <w:rPr>
          <w:rFonts w:ascii="Times New Roman" w:hAnsi="Times New Roman" w:cs="Times New Roman"/>
          <w:sz w:val="20"/>
          <w:szCs w:val="20"/>
          <w:lang w:val="en-US"/>
        </w:rPr>
        <w:t>]</w:t>
      </w:r>
    </w:p>
    <w:p w:rsidR="00272FC0" w:rsidRDefault="00272FC0" w:rsidP="00272FC0">
      <w:pPr>
        <w:widowControl w:val="0"/>
        <w:autoSpaceDE w:val="0"/>
        <w:autoSpaceDN w:val="0"/>
        <w:adjustRightInd w:val="0"/>
        <w:spacing w:after="0" w:line="240" w:lineRule="auto"/>
        <w:jc w:val="both"/>
        <w:rPr>
          <w:rFonts w:ascii="Times New Roman" w:hAnsi="Times New Roman" w:cs="Times New Roman"/>
          <w:bCs/>
          <w:sz w:val="20"/>
          <w:szCs w:val="20"/>
          <w:lang w:val="en-US"/>
        </w:rPr>
      </w:pPr>
    </w:p>
    <w:p w:rsidR="00272FC0" w:rsidRPr="008F23CC" w:rsidRDefault="00272FC0" w:rsidP="00227DD3">
      <w:pPr>
        <w:widowControl w:val="0"/>
        <w:autoSpaceDE w:val="0"/>
        <w:autoSpaceDN w:val="0"/>
        <w:adjustRightInd w:val="0"/>
        <w:spacing w:after="0" w:line="240" w:lineRule="auto"/>
        <w:ind w:firstLine="426"/>
        <w:jc w:val="both"/>
        <w:rPr>
          <w:rFonts w:ascii="Times New Roman" w:hAnsi="Times New Roman" w:cs="Times New Roman"/>
          <w:bCs/>
          <w:sz w:val="20"/>
          <w:szCs w:val="20"/>
          <w:lang w:val="en-US"/>
        </w:rPr>
      </w:pPr>
      <w:r w:rsidRPr="008F23CC">
        <w:rPr>
          <w:rFonts w:ascii="Times New Roman" w:hAnsi="Times New Roman" w:cs="Times New Roman"/>
          <w:bCs/>
          <w:sz w:val="20"/>
          <w:szCs w:val="20"/>
          <w:lang w:val="en-US"/>
        </w:rPr>
        <w:t>Most of the fuel cell related companies (or divisions of companies) are considered to be at development stage, focusing on research and testing. Although that might generate revenues from research contracts and services, few of them actually have market-ready fuel cell products. Those which report sales, they mostly refer to governmental demonstration projects and to a minor extend to military or other early adopters. Several of them, however, are already in the process of developing marketing and distribution networks, creating supply chain relationships and building up manufacturing capabilities for larger production volumes. Nevertheless, and despite the early stage of development strategic movements (mergers and acquisitions, alliances and collaborations, supply chain positioning etc) can already be detected, declaring a vividness and near future expectations [</w:t>
      </w:r>
      <w:r w:rsidR="00A45BB2">
        <w:rPr>
          <w:rFonts w:ascii="Times New Roman" w:hAnsi="Times New Roman" w:cs="Times New Roman"/>
          <w:bCs/>
          <w:sz w:val="20"/>
          <w:szCs w:val="20"/>
          <w:lang w:val="en-US"/>
        </w:rPr>
        <w:t>3</w:t>
      </w:r>
      <w:r w:rsidR="001710B0">
        <w:rPr>
          <w:rFonts w:ascii="Times New Roman" w:hAnsi="Times New Roman" w:cs="Times New Roman"/>
          <w:bCs/>
          <w:sz w:val="20"/>
          <w:szCs w:val="20"/>
          <w:lang w:val="en-US"/>
        </w:rPr>
        <w:t>7</w:t>
      </w:r>
      <w:r w:rsidRPr="008F23CC">
        <w:rPr>
          <w:rFonts w:ascii="Times New Roman" w:hAnsi="Times New Roman" w:cs="Times New Roman"/>
          <w:bCs/>
          <w:sz w:val="20"/>
          <w:szCs w:val="20"/>
          <w:lang w:val="en-US"/>
        </w:rPr>
        <w:t xml:space="preserve">].   </w:t>
      </w:r>
    </w:p>
    <w:p w:rsidR="00EB28E4" w:rsidRPr="008F23CC" w:rsidRDefault="00EB28E4" w:rsidP="003066A0">
      <w:pPr>
        <w:widowControl w:val="0"/>
        <w:autoSpaceDE w:val="0"/>
        <w:autoSpaceDN w:val="0"/>
        <w:adjustRightInd w:val="0"/>
        <w:spacing w:after="0" w:line="240" w:lineRule="auto"/>
        <w:rPr>
          <w:rFonts w:ascii="Times New Roman" w:hAnsi="Times New Roman" w:cs="Times New Roman"/>
          <w:b/>
          <w:bCs/>
          <w:sz w:val="20"/>
          <w:szCs w:val="20"/>
          <w:lang w:val="en-US"/>
        </w:rPr>
      </w:pPr>
    </w:p>
    <w:p w:rsidR="00314FD9" w:rsidRPr="008F23CC" w:rsidRDefault="00027C2F" w:rsidP="002B56C3">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noProof/>
          <w:sz w:val="20"/>
          <w:szCs w:val="20"/>
          <w:lang w:eastAsia="el-GR"/>
        </w:rPr>
        <w:drawing>
          <wp:inline distT="0" distB="0" distL="0" distR="0">
            <wp:extent cx="4762500" cy="2200275"/>
            <wp:effectExtent l="0" t="0" r="0" b="0"/>
            <wp:docPr id="31"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4762500" cy="2200275"/>
                    </a:xfrm>
                    <a:prstGeom prst="rect">
                      <a:avLst/>
                    </a:prstGeom>
                    <a:noFill/>
                    <a:ln w="9525">
                      <a:noFill/>
                      <a:miter lim="800000"/>
                      <a:headEnd/>
                      <a:tailEnd/>
                    </a:ln>
                  </pic:spPr>
                </pic:pic>
              </a:graphicData>
            </a:graphic>
          </wp:inline>
        </w:drawing>
      </w:r>
    </w:p>
    <w:p w:rsidR="00196051" w:rsidRPr="008F23CC" w:rsidRDefault="00196051" w:rsidP="00196051">
      <w:pPr>
        <w:widowControl w:val="0"/>
        <w:autoSpaceDE w:val="0"/>
        <w:autoSpaceDN w:val="0"/>
        <w:adjustRightInd w:val="0"/>
        <w:spacing w:after="0" w:line="240" w:lineRule="auto"/>
        <w:jc w:val="center"/>
        <w:rPr>
          <w:rFonts w:ascii="Times New Roman" w:hAnsi="Times New Roman" w:cs="Times New Roman"/>
          <w:sz w:val="20"/>
          <w:szCs w:val="20"/>
          <w:lang w:val="en-US"/>
        </w:rPr>
      </w:pPr>
      <w:r w:rsidRPr="008F23CC">
        <w:rPr>
          <w:rFonts w:ascii="Times New Roman" w:hAnsi="Times New Roman" w:cs="Times New Roman"/>
          <w:b/>
          <w:sz w:val="20"/>
          <w:szCs w:val="20"/>
          <w:lang w:val="en-US"/>
        </w:rPr>
        <w:t>Figure 10</w:t>
      </w:r>
      <w:r w:rsidRPr="008F23CC">
        <w:rPr>
          <w:rFonts w:ascii="Times New Roman" w:hAnsi="Times New Roman" w:cs="Times New Roman"/>
          <w:sz w:val="20"/>
          <w:szCs w:val="20"/>
          <w:lang w:val="en-US"/>
        </w:rPr>
        <w:t xml:space="preserve"> </w:t>
      </w:r>
      <w:r w:rsidR="009230BC" w:rsidRPr="008F23CC">
        <w:rPr>
          <w:rFonts w:ascii="Times New Roman" w:hAnsi="Times New Roman" w:cs="Times New Roman"/>
          <w:sz w:val="20"/>
          <w:szCs w:val="20"/>
          <w:lang w:val="en-US"/>
        </w:rPr>
        <w:t>Comparative evolution of fuel cell industry sales and R&amp;D expenditure</w:t>
      </w:r>
      <w:r w:rsidRPr="008F23CC">
        <w:rPr>
          <w:rFonts w:ascii="Times New Roman" w:hAnsi="Times New Roman" w:cs="Times New Roman"/>
          <w:sz w:val="20"/>
          <w:szCs w:val="20"/>
          <w:lang w:val="en-US"/>
        </w:rPr>
        <w:t xml:space="preserve"> [</w:t>
      </w:r>
      <w:r w:rsidR="001710B0">
        <w:rPr>
          <w:rFonts w:ascii="Times New Roman" w:hAnsi="Times New Roman" w:cs="Times New Roman"/>
          <w:sz w:val="20"/>
          <w:szCs w:val="20"/>
          <w:lang w:val="en-US"/>
        </w:rPr>
        <w:t>38</w:t>
      </w:r>
      <w:r w:rsidRPr="008F23CC">
        <w:rPr>
          <w:rFonts w:ascii="Times New Roman" w:hAnsi="Times New Roman" w:cs="Times New Roman"/>
          <w:sz w:val="20"/>
          <w:szCs w:val="20"/>
          <w:lang w:val="en-US"/>
        </w:rPr>
        <w:t>]</w:t>
      </w:r>
    </w:p>
    <w:p w:rsidR="00272FC0" w:rsidRDefault="00272FC0" w:rsidP="00272FC0">
      <w:pPr>
        <w:autoSpaceDE w:val="0"/>
        <w:autoSpaceDN w:val="0"/>
        <w:adjustRightInd w:val="0"/>
        <w:spacing w:after="0" w:line="240" w:lineRule="auto"/>
        <w:jc w:val="both"/>
        <w:rPr>
          <w:rFonts w:ascii="Times New Roman" w:hAnsi="Times New Roman" w:cs="Times New Roman"/>
          <w:bCs/>
          <w:sz w:val="20"/>
          <w:szCs w:val="20"/>
          <w:lang w:val="en-US"/>
        </w:rPr>
      </w:pPr>
    </w:p>
    <w:p w:rsidR="00272FC0" w:rsidRPr="00A45BB2" w:rsidRDefault="00272FC0" w:rsidP="00227DD3">
      <w:pPr>
        <w:autoSpaceDE w:val="0"/>
        <w:autoSpaceDN w:val="0"/>
        <w:adjustRightInd w:val="0"/>
        <w:spacing w:after="0" w:line="240" w:lineRule="auto"/>
        <w:ind w:firstLine="426"/>
        <w:jc w:val="both"/>
        <w:rPr>
          <w:rFonts w:ascii="Times New Roman" w:hAnsi="Times New Roman" w:cs="Times New Roman"/>
          <w:color w:val="000000" w:themeColor="text1"/>
          <w:sz w:val="20"/>
          <w:szCs w:val="20"/>
          <w:lang w:val="en-US"/>
        </w:rPr>
      </w:pPr>
      <w:r w:rsidRPr="008F23CC">
        <w:rPr>
          <w:rFonts w:ascii="Times New Roman" w:hAnsi="Times New Roman" w:cs="Times New Roman"/>
          <w:bCs/>
          <w:sz w:val="20"/>
          <w:szCs w:val="20"/>
          <w:lang w:val="en-US"/>
        </w:rPr>
        <w:t>Concerning the overall picture of the newly born sector, PricewaterhouseCoopers estimate that the general climate of uncertainty has been replaced by a keen focus to competitively priced products, fitting specific customer’s needs, and which will have the potential to create returns for the industry. Furthermore, besides large corporate, many medium-small enterprises have shifted the heart of the industry towards the private sector [</w:t>
      </w:r>
      <w:r w:rsidR="00A45BB2">
        <w:rPr>
          <w:rFonts w:ascii="Times New Roman" w:hAnsi="Times New Roman" w:cs="Times New Roman"/>
          <w:bCs/>
          <w:sz w:val="20"/>
          <w:szCs w:val="20"/>
          <w:lang w:val="en-US"/>
        </w:rPr>
        <w:t>3</w:t>
      </w:r>
      <w:r w:rsidR="001710B0">
        <w:rPr>
          <w:rFonts w:ascii="Times New Roman" w:hAnsi="Times New Roman" w:cs="Times New Roman"/>
          <w:bCs/>
          <w:sz w:val="20"/>
          <w:szCs w:val="20"/>
          <w:lang w:val="en-US"/>
        </w:rPr>
        <w:t>7</w:t>
      </w:r>
      <w:r w:rsidR="00A45BB2">
        <w:rPr>
          <w:rFonts w:ascii="Times New Roman" w:hAnsi="Times New Roman" w:cs="Times New Roman"/>
          <w:bCs/>
          <w:sz w:val="20"/>
          <w:szCs w:val="20"/>
          <w:lang w:val="en-US"/>
        </w:rPr>
        <w:t>,3</w:t>
      </w:r>
      <w:r w:rsidR="001710B0">
        <w:rPr>
          <w:rFonts w:ascii="Times New Roman" w:hAnsi="Times New Roman" w:cs="Times New Roman"/>
          <w:bCs/>
          <w:sz w:val="20"/>
          <w:szCs w:val="20"/>
          <w:lang w:val="en-US"/>
        </w:rPr>
        <w:t>8</w:t>
      </w:r>
      <w:r w:rsidRPr="008F23CC">
        <w:rPr>
          <w:rFonts w:ascii="Times New Roman" w:hAnsi="Times New Roman" w:cs="Times New Roman"/>
          <w:bCs/>
          <w:sz w:val="20"/>
          <w:szCs w:val="20"/>
          <w:lang w:val="en-US"/>
        </w:rPr>
        <w:t xml:space="preserve">]. Furthermore, </w:t>
      </w:r>
      <w:r w:rsidRPr="008F23CC">
        <w:rPr>
          <w:rFonts w:ascii="Times New Roman" w:hAnsi="Times New Roman" w:cs="Times New Roman"/>
          <w:sz w:val="20"/>
          <w:szCs w:val="20"/>
          <w:lang w:val="en-US"/>
        </w:rPr>
        <w:t xml:space="preserve">FC firms face dilemmas in decision-making, regarding resource acquisition, competence development, product development and niche market selection. A new market development phase is said to be near, as FC firms are developing prototypes and pre-commercial products at an increasing rate. However, widespread </w:t>
      </w:r>
      <w:r w:rsidRPr="00A45BB2">
        <w:rPr>
          <w:rFonts w:ascii="Times New Roman" w:hAnsi="Times New Roman" w:cs="Times New Roman"/>
          <w:color w:val="000000" w:themeColor="text1"/>
          <w:sz w:val="20"/>
          <w:szCs w:val="20"/>
          <w:lang w:val="en-US"/>
        </w:rPr>
        <w:t xml:space="preserve">commercialization has been announced several times and subsequently postponed an equal number of times </w:t>
      </w:r>
      <w:r w:rsidRPr="00A45BB2">
        <w:rPr>
          <w:rFonts w:ascii="Times New Roman" w:hAnsi="Times New Roman" w:cs="Times New Roman"/>
          <w:bCs/>
          <w:color w:val="000000" w:themeColor="text1"/>
          <w:sz w:val="20"/>
          <w:szCs w:val="20"/>
          <w:lang w:val="en-US"/>
        </w:rPr>
        <w:t>[</w:t>
      </w:r>
      <w:r w:rsidR="00A45BB2" w:rsidRPr="00A45BB2">
        <w:rPr>
          <w:rFonts w:ascii="Times New Roman" w:hAnsi="Times New Roman" w:cs="Times New Roman"/>
          <w:bCs/>
          <w:color w:val="000000" w:themeColor="text1"/>
          <w:sz w:val="20"/>
          <w:szCs w:val="20"/>
          <w:lang w:val="en-US"/>
        </w:rPr>
        <w:t>5</w:t>
      </w:r>
      <w:r w:rsidR="001710B0">
        <w:rPr>
          <w:rFonts w:ascii="Times New Roman" w:hAnsi="Times New Roman" w:cs="Times New Roman"/>
          <w:bCs/>
          <w:color w:val="000000" w:themeColor="text1"/>
          <w:sz w:val="20"/>
          <w:szCs w:val="20"/>
          <w:lang w:val="en-US"/>
        </w:rPr>
        <w:t>4</w:t>
      </w:r>
      <w:r w:rsidRPr="00A45BB2">
        <w:rPr>
          <w:rFonts w:ascii="Times New Roman" w:hAnsi="Times New Roman" w:cs="Times New Roman"/>
          <w:bCs/>
          <w:color w:val="000000" w:themeColor="text1"/>
          <w:sz w:val="20"/>
          <w:szCs w:val="20"/>
          <w:lang w:val="en-US"/>
        </w:rPr>
        <w:t xml:space="preserve">]. </w:t>
      </w:r>
      <w:r w:rsidRPr="00A45BB2">
        <w:rPr>
          <w:rFonts w:ascii="Times New Roman" w:hAnsi="Times New Roman" w:cs="Times New Roman"/>
          <w:color w:val="000000" w:themeColor="text1"/>
          <w:sz w:val="20"/>
          <w:szCs w:val="20"/>
          <w:lang w:val="en-US"/>
        </w:rPr>
        <w:t>There is a dynamic relationship among FC innovation, the market and the FC firms that emerge and compete on the basis of this new technology. Historical cases have shown that the development of a new technology brings about the development of a new industry in which entrepreneurs seize opportunities to innovate [</w:t>
      </w:r>
      <w:r w:rsidR="00A45BB2" w:rsidRPr="00A45BB2">
        <w:rPr>
          <w:rFonts w:ascii="Times New Roman" w:hAnsi="Times New Roman" w:cs="Times New Roman"/>
          <w:color w:val="000000" w:themeColor="text1"/>
          <w:sz w:val="20"/>
          <w:szCs w:val="20"/>
          <w:lang w:val="en-US"/>
        </w:rPr>
        <w:t>5</w:t>
      </w:r>
      <w:r w:rsidR="001710B0">
        <w:rPr>
          <w:rFonts w:ascii="Times New Roman" w:hAnsi="Times New Roman" w:cs="Times New Roman"/>
          <w:color w:val="000000" w:themeColor="text1"/>
          <w:sz w:val="20"/>
          <w:szCs w:val="20"/>
          <w:lang w:val="en-US"/>
        </w:rPr>
        <w:t>4</w:t>
      </w:r>
      <w:r w:rsidRPr="00A45BB2">
        <w:rPr>
          <w:rFonts w:ascii="Times New Roman" w:hAnsi="Times New Roman" w:cs="Times New Roman"/>
          <w:color w:val="000000" w:themeColor="text1"/>
          <w:sz w:val="20"/>
          <w:szCs w:val="20"/>
          <w:lang w:val="en-US"/>
        </w:rPr>
        <w:t xml:space="preserve">]. </w:t>
      </w:r>
    </w:p>
    <w:p w:rsidR="00510E85" w:rsidRDefault="00510E85" w:rsidP="00227DD3">
      <w:pPr>
        <w:autoSpaceDE w:val="0"/>
        <w:autoSpaceDN w:val="0"/>
        <w:adjustRightInd w:val="0"/>
        <w:spacing w:after="0" w:line="240" w:lineRule="auto"/>
        <w:ind w:firstLine="426"/>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lastRenderedPageBreak/>
        <w:t>The FC firms are in a developmental phase and</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extensive R&amp;D is conducted on the prospective technology. </w:t>
      </w:r>
      <w:r w:rsidR="00C52F65" w:rsidRPr="008F23CC">
        <w:rPr>
          <w:rFonts w:ascii="Times New Roman" w:hAnsi="Times New Roman" w:cs="Times New Roman"/>
          <w:color w:val="000000"/>
          <w:sz w:val="20"/>
          <w:szCs w:val="20"/>
          <w:lang w:val="en-US"/>
        </w:rPr>
        <w:t xml:space="preserve">Nevertheless, </w:t>
      </w:r>
      <w:r w:rsidRPr="008F23CC">
        <w:rPr>
          <w:rFonts w:ascii="Times New Roman" w:hAnsi="Times New Roman" w:cs="Times New Roman"/>
          <w:color w:val="000000"/>
          <w:sz w:val="20"/>
          <w:szCs w:val="20"/>
          <w:lang w:val="en-US"/>
        </w:rPr>
        <w:t>the Hydroge</w:t>
      </w:r>
      <w:r w:rsidR="00C52F65" w:rsidRPr="008F23CC">
        <w:rPr>
          <w:rFonts w:ascii="Times New Roman" w:hAnsi="Times New Roman" w:cs="Times New Roman"/>
          <w:color w:val="000000"/>
          <w:sz w:val="20"/>
          <w:szCs w:val="20"/>
          <w:lang w:val="en-US"/>
        </w:rPr>
        <w:t>nics 2004 annual report states that, for the fuel cell industry</w:t>
      </w:r>
      <w:r w:rsidR="00207194" w:rsidRPr="008F23CC">
        <w:rPr>
          <w:rFonts w:ascii="Times New Roman" w:hAnsi="Times New Roman" w:cs="Times New Roman"/>
          <w:color w:val="000000"/>
          <w:sz w:val="20"/>
          <w:szCs w:val="20"/>
          <w:lang w:val="en-US"/>
        </w:rPr>
        <w:t xml:space="preserve"> </w:t>
      </w:r>
      <w:r w:rsidR="00C52F65" w:rsidRPr="008F23CC">
        <w:rPr>
          <w:rFonts w:ascii="Times New Roman" w:hAnsi="Times New Roman" w:cs="Times New Roman"/>
          <w:color w:val="000000"/>
          <w:sz w:val="20"/>
          <w:szCs w:val="20"/>
          <w:lang w:val="en-US"/>
        </w:rPr>
        <w:t>is</w:t>
      </w:r>
      <w:r w:rsidRPr="008F23CC">
        <w:rPr>
          <w:rFonts w:ascii="Times New Roman" w:hAnsi="Times New Roman" w:cs="Times New Roman"/>
          <w:color w:val="000000"/>
          <w:sz w:val="20"/>
          <w:szCs w:val="20"/>
          <w:lang w:val="en-US"/>
        </w:rPr>
        <w:t xml:space="preserve"> still </w:t>
      </w:r>
      <w:r w:rsidR="00C52F65" w:rsidRPr="008F23CC">
        <w:rPr>
          <w:rFonts w:ascii="Times New Roman" w:hAnsi="Times New Roman" w:cs="Times New Roman"/>
          <w:color w:val="000000"/>
          <w:sz w:val="20"/>
          <w:szCs w:val="20"/>
          <w:lang w:val="en-US"/>
        </w:rPr>
        <w:t xml:space="preserve">not clear </w:t>
      </w:r>
      <w:r w:rsidRPr="008F23CC">
        <w:rPr>
          <w:rFonts w:ascii="Times New Roman" w:hAnsi="Times New Roman" w:cs="Times New Roman"/>
          <w:color w:val="000000"/>
          <w:sz w:val="20"/>
          <w:szCs w:val="20"/>
          <w:lang w:val="en-US"/>
        </w:rPr>
        <w:t xml:space="preserve">when or whether </w:t>
      </w:r>
      <w:r w:rsidR="00C52F65" w:rsidRPr="008F23CC">
        <w:rPr>
          <w:rFonts w:ascii="Times New Roman" w:hAnsi="Times New Roman" w:cs="Times New Roman"/>
          <w:color w:val="000000"/>
          <w:sz w:val="20"/>
          <w:szCs w:val="20"/>
          <w:lang w:val="en-US"/>
        </w:rPr>
        <w:t xml:space="preserve">a </w:t>
      </w:r>
      <w:r w:rsidRPr="008F23CC">
        <w:rPr>
          <w:rFonts w:ascii="Times New Roman" w:hAnsi="Times New Roman" w:cs="Times New Roman"/>
          <w:color w:val="000000"/>
          <w:sz w:val="20"/>
          <w:szCs w:val="20"/>
          <w:lang w:val="en-US"/>
        </w:rPr>
        <w:t>successfully complete</w:t>
      </w:r>
      <w:r w:rsidR="00C52F65" w:rsidRPr="008F23CC">
        <w:rPr>
          <w:rFonts w:ascii="Times New Roman" w:hAnsi="Times New Roman" w:cs="Times New Roman"/>
          <w:color w:val="000000"/>
          <w:sz w:val="20"/>
          <w:szCs w:val="20"/>
          <w:lang w:val="en-US"/>
        </w:rPr>
        <w:t>d</w:t>
      </w:r>
      <w:r w:rsidRPr="008F23CC">
        <w:rPr>
          <w:rFonts w:ascii="Times New Roman" w:hAnsi="Times New Roman" w:cs="Times New Roman"/>
          <w:color w:val="000000"/>
          <w:sz w:val="20"/>
          <w:szCs w:val="20"/>
          <w:lang w:val="en-US"/>
        </w:rPr>
        <w:t xml:space="preserve"> </w:t>
      </w:r>
      <w:r w:rsidR="00C52F65" w:rsidRPr="008F23CC">
        <w:rPr>
          <w:rFonts w:ascii="Times New Roman" w:hAnsi="Times New Roman" w:cs="Times New Roman"/>
          <w:color w:val="000000"/>
          <w:sz w:val="20"/>
          <w:szCs w:val="20"/>
          <w:lang w:val="en-US"/>
        </w:rPr>
        <w:t>R&amp;D</w:t>
      </w:r>
      <w:r w:rsidRPr="008F23CC">
        <w:rPr>
          <w:rFonts w:ascii="Times New Roman" w:hAnsi="Times New Roman" w:cs="Times New Roman"/>
          <w:color w:val="000000"/>
          <w:sz w:val="20"/>
          <w:szCs w:val="20"/>
          <w:lang w:val="en-US"/>
        </w:rPr>
        <w:t xml:space="preserve"> </w:t>
      </w:r>
      <w:r w:rsidR="00C52F65" w:rsidRPr="008F23CC">
        <w:rPr>
          <w:rFonts w:ascii="Times New Roman" w:hAnsi="Times New Roman" w:cs="Times New Roman"/>
          <w:color w:val="000000"/>
          <w:sz w:val="20"/>
          <w:szCs w:val="20"/>
          <w:lang w:val="en-US"/>
        </w:rPr>
        <w:t>phase will lead to a commercially viable fuel cell power product</w:t>
      </w:r>
      <w:r w:rsidRPr="008F23CC">
        <w:rPr>
          <w:rFonts w:ascii="Times New Roman" w:hAnsi="Times New Roman" w:cs="Times New Roman"/>
          <w:color w:val="000000"/>
          <w:sz w:val="20"/>
          <w:szCs w:val="20"/>
          <w:lang w:val="en-US"/>
        </w:rPr>
        <w:t>.</w:t>
      </w:r>
      <w:r w:rsidR="00207194" w:rsidRPr="008F23CC">
        <w:rPr>
          <w:rFonts w:ascii="Times New Roman" w:hAnsi="Times New Roman" w:cs="Times New Roman"/>
          <w:color w:val="000000"/>
          <w:sz w:val="20"/>
          <w:szCs w:val="20"/>
          <w:lang w:val="en-US"/>
        </w:rPr>
        <w:t xml:space="preserve"> </w:t>
      </w:r>
      <w:r w:rsidR="005275C0" w:rsidRPr="008F23CC">
        <w:rPr>
          <w:rFonts w:ascii="Times New Roman" w:hAnsi="Times New Roman" w:cs="Times New Roman"/>
          <w:color w:val="000000"/>
          <w:sz w:val="20"/>
          <w:szCs w:val="20"/>
          <w:lang w:val="en-US"/>
        </w:rPr>
        <w:t>Nevertheless</w:t>
      </w:r>
      <w:r w:rsidR="00C52F65"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 FC firms are in the process</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of resource acquisition and p</w:t>
      </w:r>
      <w:r w:rsidR="005275C0" w:rsidRPr="008F23CC">
        <w:rPr>
          <w:rFonts w:ascii="Times New Roman" w:hAnsi="Times New Roman" w:cs="Times New Roman"/>
          <w:color w:val="000000"/>
          <w:sz w:val="20"/>
          <w:szCs w:val="20"/>
          <w:lang w:val="en-US"/>
        </w:rPr>
        <w:t>roprietary competence formation, and</w:t>
      </w:r>
      <w:r w:rsidR="00207194" w:rsidRPr="008F23CC">
        <w:rPr>
          <w:rFonts w:ascii="Times New Roman" w:hAnsi="Times New Roman" w:cs="Times New Roman"/>
          <w:color w:val="000000"/>
          <w:sz w:val="20"/>
          <w:szCs w:val="20"/>
          <w:lang w:val="en-US"/>
        </w:rPr>
        <w:t xml:space="preserve"> </w:t>
      </w:r>
      <w:r w:rsidR="005275C0" w:rsidRPr="008F23CC">
        <w:rPr>
          <w:rFonts w:ascii="Times New Roman" w:hAnsi="Times New Roman" w:cs="Times New Roman"/>
          <w:color w:val="000000"/>
          <w:sz w:val="20"/>
          <w:szCs w:val="20"/>
          <w:lang w:val="en-US"/>
        </w:rPr>
        <w:t>facing</w:t>
      </w:r>
      <w:r w:rsidRPr="008F23CC">
        <w:rPr>
          <w:rFonts w:ascii="Times New Roman" w:hAnsi="Times New Roman" w:cs="Times New Roman"/>
          <w:color w:val="000000"/>
          <w:sz w:val="20"/>
          <w:szCs w:val="20"/>
          <w:lang w:val="en-US"/>
        </w:rPr>
        <w:t xml:space="preserve"> severe challenges in R&amp;D</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activities</w:t>
      </w:r>
      <w:r w:rsidR="005275C0" w:rsidRPr="008F23CC">
        <w:rPr>
          <w:rFonts w:ascii="Times New Roman" w:hAnsi="Times New Roman" w:cs="Times New Roman"/>
          <w:color w:val="000000"/>
          <w:sz w:val="20"/>
          <w:szCs w:val="20"/>
          <w:lang w:val="en-US"/>
        </w:rPr>
        <w:t>,</w:t>
      </w:r>
      <w:r w:rsidRPr="008F23CC">
        <w:rPr>
          <w:rFonts w:ascii="Times New Roman" w:hAnsi="Times New Roman" w:cs="Times New Roman"/>
          <w:color w:val="000000"/>
          <w:sz w:val="20"/>
          <w:szCs w:val="20"/>
          <w:lang w:val="en-US"/>
        </w:rPr>
        <w:t xml:space="preserve"> </w:t>
      </w:r>
      <w:r w:rsidR="005275C0" w:rsidRPr="008F23CC">
        <w:rPr>
          <w:rFonts w:ascii="Times New Roman" w:hAnsi="Times New Roman" w:cs="Times New Roman"/>
          <w:color w:val="000000"/>
          <w:sz w:val="20"/>
          <w:szCs w:val="20"/>
          <w:lang w:val="en-US"/>
        </w:rPr>
        <w:t>that</w:t>
      </w:r>
      <w:r w:rsidRPr="008F23CC">
        <w:rPr>
          <w:rFonts w:ascii="Times New Roman" w:hAnsi="Times New Roman" w:cs="Times New Roman"/>
          <w:color w:val="000000"/>
          <w:sz w:val="20"/>
          <w:szCs w:val="20"/>
          <w:lang w:val="en-US"/>
        </w:rPr>
        <w:t xml:space="preserve"> </w:t>
      </w:r>
      <w:r w:rsidR="005275C0" w:rsidRPr="008F23CC">
        <w:rPr>
          <w:rFonts w:ascii="Times New Roman" w:hAnsi="Times New Roman" w:cs="Times New Roman"/>
          <w:color w:val="000000"/>
          <w:sz w:val="20"/>
          <w:szCs w:val="20"/>
          <w:lang w:val="en-US"/>
        </w:rPr>
        <w:t>promises</w:t>
      </w:r>
      <w:r w:rsidRPr="008F23CC">
        <w:rPr>
          <w:rFonts w:ascii="Times New Roman" w:hAnsi="Times New Roman" w:cs="Times New Roman"/>
          <w:color w:val="000000"/>
          <w:sz w:val="20"/>
          <w:szCs w:val="20"/>
          <w:lang w:val="en-US"/>
        </w:rPr>
        <w:t xml:space="preserve"> revenue generation through marketing</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 xml:space="preserve">and sales activities. To </w:t>
      </w:r>
      <w:r w:rsidR="005275C0" w:rsidRPr="008F23CC">
        <w:rPr>
          <w:rFonts w:ascii="Times New Roman" w:hAnsi="Times New Roman" w:cs="Times New Roman"/>
          <w:color w:val="000000"/>
          <w:sz w:val="20"/>
          <w:szCs w:val="20"/>
          <w:lang w:val="en-US"/>
        </w:rPr>
        <w:t>commercialize</w:t>
      </w:r>
      <w:r w:rsidRPr="008F23CC">
        <w:rPr>
          <w:rFonts w:ascii="Times New Roman" w:hAnsi="Times New Roman" w:cs="Times New Roman"/>
          <w:color w:val="000000"/>
          <w:sz w:val="20"/>
          <w:szCs w:val="20"/>
          <w:lang w:val="en-US"/>
        </w:rPr>
        <w:t xml:space="preserve"> the technology, FC</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firms are challenged to shift from technology development to</w:t>
      </w:r>
      <w:r w:rsidR="00207194"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product development.</w:t>
      </w:r>
    </w:p>
    <w:p w:rsidR="00936ADD" w:rsidRDefault="00936ADD" w:rsidP="00227DD3">
      <w:pPr>
        <w:autoSpaceDE w:val="0"/>
        <w:autoSpaceDN w:val="0"/>
        <w:adjustRightInd w:val="0"/>
        <w:spacing w:after="0" w:line="240" w:lineRule="auto"/>
        <w:ind w:firstLine="426"/>
        <w:jc w:val="both"/>
        <w:rPr>
          <w:rFonts w:ascii="Times New Roman" w:hAnsi="Times New Roman" w:cs="Times New Roman"/>
          <w:color w:val="000000"/>
          <w:sz w:val="20"/>
          <w:szCs w:val="20"/>
          <w:lang w:val="en-US"/>
        </w:rPr>
      </w:pPr>
    </w:p>
    <w:p w:rsidR="001F091A" w:rsidRPr="008F23CC" w:rsidRDefault="001F091A" w:rsidP="00AD19B9">
      <w:pPr>
        <w:widowControl w:val="0"/>
        <w:autoSpaceDE w:val="0"/>
        <w:autoSpaceDN w:val="0"/>
        <w:adjustRightInd w:val="0"/>
        <w:spacing w:after="0" w:line="240" w:lineRule="auto"/>
        <w:jc w:val="center"/>
        <w:rPr>
          <w:rFonts w:ascii="Times New Roman" w:hAnsi="Times New Roman" w:cs="Times New Roman"/>
          <w:color w:val="000000"/>
          <w:sz w:val="20"/>
          <w:szCs w:val="20"/>
          <w:lang w:val="en-US"/>
        </w:rPr>
      </w:pPr>
      <w:r w:rsidRPr="008F23CC">
        <w:rPr>
          <w:rFonts w:ascii="Times New Roman" w:hAnsi="Times New Roman" w:cs="Times New Roman"/>
          <w:noProof/>
          <w:sz w:val="20"/>
          <w:szCs w:val="20"/>
          <w:lang w:eastAsia="el-GR"/>
        </w:rPr>
        <w:drawing>
          <wp:inline distT="0" distB="0" distL="0" distR="0">
            <wp:extent cx="4449170" cy="2211676"/>
            <wp:effectExtent l="0" t="0" r="8530" b="0"/>
            <wp:docPr id="14"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srcRect/>
                    <a:stretch>
                      <a:fillRect/>
                    </a:stretch>
                  </pic:blipFill>
                  <pic:spPr bwMode="auto">
                    <a:xfrm>
                      <a:off x="0" y="0"/>
                      <a:ext cx="4458231" cy="2216180"/>
                    </a:xfrm>
                    <a:prstGeom prst="rect">
                      <a:avLst/>
                    </a:prstGeom>
                    <a:noFill/>
                    <a:ln w="9525">
                      <a:noFill/>
                      <a:miter lim="800000"/>
                      <a:headEnd/>
                      <a:tailEnd/>
                    </a:ln>
                  </pic:spPr>
                </pic:pic>
              </a:graphicData>
            </a:graphic>
          </wp:inline>
        </w:drawing>
      </w:r>
    </w:p>
    <w:p w:rsidR="001F091A" w:rsidRPr="008F23CC" w:rsidRDefault="001F091A" w:rsidP="001F091A">
      <w:pPr>
        <w:widowControl w:val="0"/>
        <w:autoSpaceDE w:val="0"/>
        <w:autoSpaceDN w:val="0"/>
        <w:adjustRightInd w:val="0"/>
        <w:spacing w:after="0" w:line="240" w:lineRule="auto"/>
        <w:jc w:val="center"/>
        <w:rPr>
          <w:rFonts w:ascii="Times New Roman" w:hAnsi="Times New Roman" w:cs="Times New Roman"/>
          <w:color w:val="000000"/>
          <w:sz w:val="20"/>
          <w:szCs w:val="20"/>
          <w:lang w:val="en-US"/>
        </w:rPr>
      </w:pPr>
      <w:r w:rsidRPr="00E40C28">
        <w:rPr>
          <w:rFonts w:ascii="Times New Roman" w:hAnsi="Times New Roman" w:cs="Times New Roman"/>
          <w:b/>
          <w:color w:val="000000"/>
          <w:sz w:val="20"/>
          <w:szCs w:val="20"/>
          <w:lang w:val="en-US"/>
        </w:rPr>
        <w:t xml:space="preserve">Figure </w:t>
      </w:r>
      <w:r w:rsidR="00E40C28" w:rsidRPr="00E40C28">
        <w:rPr>
          <w:rFonts w:ascii="Times New Roman" w:hAnsi="Times New Roman" w:cs="Times New Roman"/>
          <w:b/>
          <w:color w:val="000000"/>
          <w:sz w:val="20"/>
          <w:szCs w:val="20"/>
          <w:lang w:val="en-US"/>
        </w:rPr>
        <w:t>11</w:t>
      </w:r>
      <w:r w:rsidRPr="008F23CC">
        <w:rPr>
          <w:rFonts w:ascii="Times New Roman" w:hAnsi="Times New Roman" w:cs="Times New Roman"/>
          <w:color w:val="000000"/>
          <w:sz w:val="20"/>
          <w:szCs w:val="20"/>
          <w:lang w:val="en-US"/>
        </w:rPr>
        <w:t xml:space="preserve"> UNEP 2002 forecast for fuel cell distributed power generation capacity</w:t>
      </w:r>
      <w:r w:rsidR="00A45BB2">
        <w:rPr>
          <w:rFonts w:ascii="Times New Roman" w:hAnsi="Times New Roman" w:cs="Times New Roman"/>
          <w:color w:val="000000"/>
          <w:sz w:val="20"/>
          <w:szCs w:val="20"/>
          <w:lang w:val="en-US"/>
        </w:rPr>
        <w:t xml:space="preserve"> [5</w:t>
      </w:r>
      <w:r w:rsidR="001710B0">
        <w:rPr>
          <w:rFonts w:ascii="Times New Roman" w:hAnsi="Times New Roman" w:cs="Times New Roman"/>
          <w:color w:val="000000"/>
          <w:sz w:val="20"/>
          <w:szCs w:val="20"/>
          <w:lang w:val="en-US"/>
        </w:rPr>
        <w:t>9</w:t>
      </w:r>
      <w:r w:rsidR="00A45BB2">
        <w:rPr>
          <w:rFonts w:ascii="Times New Roman" w:hAnsi="Times New Roman" w:cs="Times New Roman"/>
          <w:color w:val="000000"/>
          <w:sz w:val="20"/>
          <w:szCs w:val="20"/>
          <w:lang w:val="en-US"/>
        </w:rPr>
        <w:t>]</w:t>
      </w:r>
    </w:p>
    <w:p w:rsidR="00510E85" w:rsidRPr="008F23CC" w:rsidRDefault="00510E85" w:rsidP="00510E85">
      <w:pPr>
        <w:autoSpaceDE w:val="0"/>
        <w:autoSpaceDN w:val="0"/>
        <w:adjustRightInd w:val="0"/>
        <w:spacing w:after="0" w:line="240" w:lineRule="auto"/>
        <w:rPr>
          <w:rFonts w:ascii="Times New Roman" w:hAnsi="Times New Roman" w:cs="Times New Roman"/>
          <w:i/>
          <w:iCs/>
          <w:color w:val="000000"/>
          <w:sz w:val="20"/>
          <w:szCs w:val="20"/>
          <w:lang w:val="en-US"/>
        </w:rPr>
      </w:pPr>
    </w:p>
    <w:p w:rsidR="00C43740" w:rsidRPr="00AD0E9C" w:rsidRDefault="005275C0" w:rsidP="00227DD3">
      <w:pPr>
        <w:autoSpaceDE w:val="0"/>
        <w:autoSpaceDN w:val="0"/>
        <w:adjustRightInd w:val="0"/>
        <w:spacing w:after="0" w:line="240" w:lineRule="auto"/>
        <w:ind w:firstLine="426"/>
        <w:jc w:val="both"/>
        <w:rPr>
          <w:rFonts w:ascii="Times New Roman" w:hAnsi="Times New Roman" w:cs="Times New Roman"/>
          <w:bCs/>
          <w:color w:val="000000" w:themeColor="text1"/>
          <w:sz w:val="20"/>
          <w:szCs w:val="20"/>
          <w:lang w:val="en-US"/>
        </w:rPr>
      </w:pPr>
      <w:r w:rsidRPr="008F23CC">
        <w:rPr>
          <w:rFonts w:ascii="Times New Roman" w:hAnsi="Times New Roman" w:cs="Times New Roman"/>
          <w:color w:val="000000"/>
          <w:sz w:val="20"/>
          <w:szCs w:val="20"/>
          <w:lang w:val="en-US"/>
        </w:rPr>
        <w:t>At</w:t>
      </w:r>
      <w:r w:rsidR="00510E85" w:rsidRPr="008F23CC">
        <w:rPr>
          <w:rFonts w:ascii="Times New Roman" w:hAnsi="Times New Roman" w:cs="Times New Roman"/>
          <w:color w:val="000000"/>
          <w:sz w:val="20"/>
          <w:szCs w:val="20"/>
          <w:lang w:val="en-US"/>
        </w:rPr>
        <w:t xml:space="preserve"> </w:t>
      </w:r>
      <w:r w:rsidRPr="008F23CC">
        <w:rPr>
          <w:rFonts w:ascii="Times New Roman" w:hAnsi="Times New Roman" w:cs="Times New Roman"/>
          <w:color w:val="000000"/>
          <w:sz w:val="20"/>
          <w:szCs w:val="20"/>
          <w:lang w:val="en-US"/>
        </w:rPr>
        <w:t>this</w:t>
      </w:r>
      <w:r w:rsidR="00510E85" w:rsidRPr="008F23CC">
        <w:rPr>
          <w:rFonts w:ascii="Times New Roman" w:hAnsi="Times New Roman" w:cs="Times New Roman"/>
          <w:color w:val="000000"/>
          <w:sz w:val="20"/>
          <w:szCs w:val="20"/>
          <w:lang w:val="en-US"/>
        </w:rPr>
        <w:t xml:space="preserve"> stage</w:t>
      </w:r>
      <w:r w:rsidRPr="008F23CC">
        <w:rPr>
          <w:rFonts w:ascii="Times New Roman" w:hAnsi="Times New Roman" w:cs="Times New Roman"/>
          <w:color w:val="000000"/>
          <w:sz w:val="20"/>
          <w:szCs w:val="20"/>
          <w:lang w:val="en-US"/>
        </w:rPr>
        <w:t>,</w:t>
      </w:r>
      <w:r w:rsidR="00510E85" w:rsidRPr="008F23CC">
        <w:rPr>
          <w:rFonts w:ascii="Times New Roman" w:hAnsi="Times New Roman" w:cs="Times New Roman"/>
          <w:color w:val="000000"/>
          <w:sz w:val="20"/>
          <w:szCs w:val="20"/>
          <w:lang w:val="en-US"/>
        </w:rPr>
        <w:t xml:space="preserve"> extensive investments are required for R&amp;D and</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the gradual development of manufacturing capability. However,</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 xml:space="preserve">the market for FC products </w:t>
      </w:r>
      <w:r w:rsidRPr="008F23CC">
        <w:rPr>
          <w:rFonts w:ascii="Times New Roman" w:hAnsi="Times New Roman" w:cs="Times New Roman"/>
          <w:color w:val="000000"/>
          <w:sz w:val="20"/>
          <w:szCs w:val="20"/>
          <w:lang w:val="en-US"/>
        </w:rPr>
        <w:t>is almost</w:t>
      </w:r>
      <w:r w:rsidR="00510E85" w:rsidRPr="008F23CC">
        <w:rPr>
          <w:rFonts w:ascii="Times New Roman" w:hAnsi="Times New Roman" w:cs="Times New Roman"/>
          <w:color w:val="000000"/>
          <w:sz w:val="20"/>
          <w:szCs w:val="20"/>
          <w:lang w:val="en-US"/>
        </w:rPr>
        <w:t xml:space="preserve"> non-existent as yet.</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PriceWatershouseCooper survey</w:t>
      </w:r>
      <w:r w:rsidRPr="008F23CC">
        <w:rPr>
          <w:rFonts w:ascii="Times New Roman" w:hAnsi="Times New Roman" w:cs="Times New Roman"/>
          <w:color w:val="000000"/>
          <w:sz w:val="20"/>
          <w:szCs w:val="20"/>
          <w:lang w:val="en-US"/>
        </w:rPr>
        <w:t>,</w:t>
      </w:r>
      <w:r w:rsidR="00510E85" w:rsidRPr="008F23CC">
        <w:rPr>
          <w:rFonts w:ascii="Times New Roman" w:hAnsi="Times New Roman" w:cs="Times New Roman"/>
          <w:color w:val="000000"/>
          <w:sz w:val="20"/>
          <w:szCs w:val="20"/>
          <w:lang w:val="en-US"/>
        </w:rPr>
        <w:t xml:space="preserve"> report</w:t>
      </w:r>
      <w:r w:rsidRPr="008F23CC">
        <w:rPr>
          <w:rFonts w:ascii="Times New Roman" w:hAnsi="Times New Roman" w:cs="Times New Roman"/>
          <w:color w:val="000000"/>
          <w:sz w:val="20"/>
          <w:szCs w:val="20"/>
          <w:lang w:val="en-US"/>
        </w:rPr>
        <w:t xml:space="preserve">s </w:t>
      </w:r>
      <w:r w:rsidR="00510E85" w:rsidRPr="008F23CC">
        <w:rPr>
          <w:rFonts w:ascii="Times New Roman" w:hAnsi="Times New Roman" w:cs="Times New Roman"/>
          <w:color w:val="000000"/>
          <w:sz w:val="20"/>
          <w:szCs w:val="20"/>
          <w:lang w:val="en-US"/>
        </w:rPr>
        <w:t>that</w:t>
      </w:r>
      <w:r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 xml:space="preserve">none of the </w:t>
      </w:r>
      <w:r w:rsidR="00216A86" w:rsidRPr="008F23CC">
        <w:rPr>
          <w:rFonts w:ascii="Times New Roman" w:hAnsi="Times New Roman" w:cs="Times New Roman"/>
          <w:color w:val="000000"/>
          <w:sz w:val="20"/>
          <w:szCs w:val="20"/>
          <w:lang w:val="en-US"/>
        </w:rPr>
        <w:t xml:space="preserve">corresponding </w:t>
      </w:r>
      <w:r w:rsidR="00510E85" w:rsidRPr="008F23CC">
        <w:rPr>
          <w:rFonts w:ascii="Times New Roman" w:hAnsi="Times New Roman" w:cs="Times New Roman"/>
          <w:color w:val="000000"/>
          <w:sz w:val="20"/>
          <w:szCs w:val="20"/>
          <w:lang w:val="en-US"/>
        </w:rPr>
        <w:t xml:space="preserve">companies </w:t>
      </w:r>
      <w:r w:rsidRPr="008F23CC">
        <w:rPr>
          <w:rFonts w:ascii="Times New Roman" w:hAnsi="Times New Roman" w:cs="Times New Roman"/>
          <w:color w:val="000000"/>
          <w:sz w:val="20"/>
          <w:szCs w:val="20"/>
          <w:lang w:val="en-US"/>
        </w:rPr>
        <w:t>were</w:t>
      </w:r>
      <w:r w:rsidR="00510E85" w:rsidRPr="008F23CC">
        <w:rPr>
          <w:rFonts w:ascii="Times New Roman" w:hAnsi="Times New Roman" w:cs="Times New Roman"/>
          <w:color w:val="000000"/>
          <w:sz w:val="20"/>
          <w:szCs w:val="20"/>
          <w:lang w:val="en-US"/>
        </w:rPr>
        <w:t xml:space="preserve"> profitable in 200</w:t>
      </w:r>
      <w:r w:rsidRPr="008F23CC">
        <w:rPr>
          <w:rFonts w:ascii="Times New Roman" w:hAnsi="Times New Roman" w:cs="Times New Roman"/>
          <w:color w:val="000000"/>
          <w:sz w:val="20"/>
          <w:szCs w:val="20"/>
          <w:lang w:val="en-US"/>
        </w:rPr>
        <w:t>5</w:t>
      </w:r>
      <w:r w:rsidR="00216A86" w:rsidRPr="008F23CC">
        <w:rPr>
          <w:rFonts w:ascii="Times New Roman" w:hAnsi="Times New Roman" w:cs="Times New Roman"/>
          <w:color w:val="000000"/>
          <w:sz w:val="20"/>
          <w:szCs w:val="20"/>
          <w:lang w:val="en-US"/>
        </w:rPr>
        <w:t>, and that t</w:t>
      </w:r>
      <w:r w:rsidR="00510E85" w:rsidRPr="008F23CC">
        <w:rPr>
          <w:rFonts w:ascii="Times New Roman" w:hAnsi="Times New Roman" w:cs="Times New Roman"/>
          <w:color w:val="000000"/>
          <w:sz w:val="20"/>
          <w:szCs w:val="20"/>
          <w:lang w:val="en-US"/>
        </w:rPr>
        <w:t>he</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financial performance reflects the costs of implementing strategies</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 xml:space="preserve">to refine pre-commercial technology, </w:t>
      </w:r>
      <w:r w:rsidR="00216A86" w:rsidRPr="008F23CC">
        <w:rPr>
          <w:rFonts w:ascii="Times New Roman" w:hAnsi="Times New Roman" w:cs="Times New Roman"/>
          <w:color w:val="000000"/>
          <w:sz w:val="20"/>
          <w:szCs w:val="20"/>
          <w:lang w:val="en-US"/>
        </w:rPr>
        <w:t xml:space="preserve">to </w:t>
      </w:r>
      <w:r w:rsidR="00510E85" w:rsidRPr="008F23CC">
        <w:rPr>
          <w:rFonts w:ascii="Times New Roman" w:hAnsi="Times New Roman" w:cs="Times New Roman"/>
          <w:color w:val="000000"/>
          <w:sz w:val="20"/>
          <w:szCs w:val="20"/>
          <w:lang w:val="en-US"/>
        </w:rPr>
        <w:t>develop product capacity</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 xml:space="preserve">and </w:t>
      </w:r>
      <w:r w:rsidR="00216A86" w:rsidRPr="008F23CC">
        <w:rPr>
          <w:rFonts w:ascii="Times New Roman" w:hAnsi="Times New Roman" w:cs="Times New Roman"/>
          <w:color w:val="000000"/>
          <w:sz w:val="20"/>
          <w:szCs w:val="20"/>
          <w:lang w:val="en-US"/>
        </w:rPr>
        <w:t xml:space="preserve">to </w:t>
      </w:r>
      <w:r w:rsidR="00510E85" w:rsidRPr="008F23CC">
        <w:rPr>
          <w:rFonts w:ascii="Times New Roman" w:hAnsi="Times New Roman" w:cs="Times New Roman"/>
          <w:color w:val="000000"/>
          <w:sz w:val="20"/>
          <w:szCs w:val="20"/>
          <w:lang w:val="en-US"/>
        </w:rPr>
        <w:t xml:space="preserve">secure market </w:t>
      </w:r>
      <w:r w:rsidR="00510E85" w:rsidRPr="00AD0E9C">
        <w:rPr>
          <w:rFonts w:ascii="Times New Roman" w:hAnsi="Times New Roman" w:cs="Times New Roman"/>
          <w:color w:val="000000" w:themeColor="text1"/>
          <w:sz w:val="20"/>
          <w:szCs w:val="20"/>
          <w:lang w:val="en-US"/>
        </w:rPr>
        <w:t>access</w:t>
      </w:r>
      <w:r w:rsidR="00216A86" w:rsidRPr="00AD0E9C">
        <w:rPr>
          <w:rFonts w:ascii="Times New Roman" w:hAnsi="Times New Roman" w:cs="Times New Roman"/>
          <w:color w:val="000000" w:themeColor="text1"/>
          <w:sz w:val="20"/>
          <w:szCs w:val="20"/>
          <w:lang w:val="en-US"/>
        </w:rPr>
        <w:t xml:space="preserve"> </w:t>
      </w:r>
      <w:r w:rsidRPr="00AD0E9C">
        <w:rPr>
          <w:rFonts w:ascii="Times New Roman" w:hAnsi="Times New Roman" w:cs="Times New Roman"/>
          <w:color w:val="000000" w:themeColor="text1"/>
          <w:sz w:val="20"/>
          <w:szCs w:val="20"/>
          <w:lang w:val="en-US"/>
        </w:rPr>
        <w:t>[</w:t>
      </w:r>
      <w:r w:rsidR="00A45BB2" w:rsidRPr="00AD0E9C">
        <w:rPr>
          <w:rFonts w:ascii="Times New Roman" w:hAnsi="Times New Roman" w:cs="Times New Roman"/>
          <w:color w:val="000000" w:themeColor="text1"/>
          <w:sz w:val="20"/>
          <w:szCs w:val="20"/>
          <w:lang w:val="en-US"/>
        </w:rPr>
        <w:t>5</w:t>
      </w:r>
      <w:r w:rsidR="001710B0">
        <w:rPr>
          <w:rFonts w:ascii="Times New Roman" w:hAnsi="Times New Roman" w:cs="Times New Roman"/>
          <w:color w:val="000000" w:themeColor="text1"/>
          <w:sz w:val="20"/>
          <w:szCs w:val="20"/>
          <w:lang w:val="en-US"/>
        </w:rPr>
        <w:t>5</w:t>
      </w:r>
      <w:r w:rsidRPr="00AD0E9C">
        <w:rPr>
          <w:rFonts w:ascii="Times New Roman" w:hAnsi="Times New Roman" w:cs="Times New Roman"/>
          <w:color w:val="000000" w:themeColor="text1"/>
          <w:sz w:val="20"/>
          <w:szCs w:val="20"/>
          <w:lang w:val="en-US"/>
        </w:rPr>
        <w:t>]</w:t>
      </w:r>
      <w:r w:rsidR="00510E85" w:rsidRPr="00AD0E9C">
        <w:rPr>
          <w:rFonts w:ascii="Times New Roman" w:hAnsi="Times New Roman" w:cs="Times New Roman"/>
          <w:color w:val="000000" w:themeColor="text1"/>
          <w:sz w:val="20"/>
          <w:szCs w:val="20"/>
          <w:lang w:val="en-US"/>
        </w:rPr>
        <w:t>. Thus</w:t>
      </w:r>
      <w:r w:rsidR="00510E85" w:rsidRPr="008F23CC">
        <w:rPr>
          <w:rFonts w:ascii="Times New Roman" w:hAnsi="Times New Roman" w:cs="Times New Roman"/>
          <w:color w:val="000000"/>
          <w:sz w:val="20"/>
          <w:szCs w:val="20"/>
          <w:lang w:val="en-US"/>
        </w:rPr>
        <w:t xml:space="preserve">, the FC industry </w:t>
      </w:r>
      <w:r w:rsidR="00216A86" w:rsidRPr="008F23CC">
        <w:rPr>
          <w:rFonts w:ascii="Times New Roman" w:hAnsi="Times New Roman" w:cs="Times New Roman"/>
          <w:color w:val="000000"/>
          <w:sz w:val="20"/>
          <w:szCs w:val="20"/>
          <w:lang w:val="en-US"/>
        </w:rPr>
        <w:t xml:space="preserve">still appears not to be </w:t>
      </w:r>
      <w:r w:rsidR="00510E85" w:rsidRPr="008F23CC">
        <w:rPr>
          <w:rFonts w:ascii="Times New Roman" w:hAnsi="Times New Roman" w:cs="Times New Roman"/>
          <w:color w:val="000000"/>
          <w:sz w:val="20"/>
          <w:szCs w:val="20"/>
          <w:lang w:val="en-US"/>
        </w:rPr>
        <w:t>self-supporting and considering the</w:t>
      </w:r>
      <w:r w:rsidR="00207194" w:rsidRPr="008F23CC">
        <w:rPr>
          <w:rFonts w:ascii="Times New Roman" w:hAnsi="Times New Roman" w:cs="Times New Roman"/>
          <w:color w:val="000000"/>
          <w:sz w:val="20"/>
          <w:szCs w:val="20"/>
          <w:lang w:val="en-US"/>
        </w:rPr>
        <w:t xml:space="preserve"> </w:t>
      </w:r>
      <w:r w:rsidR="00510E85" w:rsidRPr="008F23CC">
        <w:rPr>
          <w:rFonts w:ascii="Times New Roman" w:hAnsi="Times New Roman" w:cs="Times New Roman"/>
          <w:color w:val="000000"/>
          <w:sz w:val="20"/>
          <w:szCs w:val="20"/>
          <w:lang w:val="en-US"/>
        </w:rPr>
        <w:t>long-term process of implementation</w:t>
      </w:r>
      <w:r w:rsidR="00216A86" w:rsidRPr="008F23CC">
        <w:rPr>
          <w:rFonts w:ascii="Times New Roman" w:hAnsi="Times New Roman" w:cs="Times New Roman"/>
          <w:color w:val="000000"/>
          <w:sz w:val="20"/>
          <w:szCs w:val="20"/>
          <w:lang w:val="en-US"/>
        </w:rPr>
        <w:t>.</w:t>
      </w:r>
      <w:r w:rsidR="00510E85" w:rsidRPr="008F23CC">
        <w:rPr>
          <w:rFonts w:ascii="Times New Roman" w:hAnsi="Times New Roman" w:cs="Times New Roman"/>
          <w:color w:val="000000"/>
          <w:sz w:val="20"/>
          <w:szCs w:val="20"/>
          <w:lang w:val="en-US"/>
        </w:rPr>
        <w:t xml:space="preserve"> </w:t>
      </w:r>
      <w:r w:rsidR="00216A86" w:rsidRPr="008F23CC">
        <w:rPr>
          <w:rFonts w:ascii="Times New Roman" w:hAnsi="Times New Roman" w:cs="Times New Roman"/>
          <w:color w:val="000000"/>
          <w:sz w:val="20"/>
          <w:szCs w:val="20"/>
          <w:lang w:val="en-US"/>
        </w:rPr>
        <w:t>R</w:t>
      </w:r>
      <w:r w:rsidR="00510E85" w:rsidRPr="008F23CC">
        <w:rPr>
          <w:rFonts w:ascii="Times New Roman" w:hAnsi="Times New Roman" w:cs="Times New Roman"/>
          <w:color w:val="000000"/>
          <w:sz w:val="20"/>
          <w:szCs w:val="20"/>
          <w:lang w:val="en-US"/>
        </w:rPr>
        <w:t xml:space="preserve">eturn on </w:t>
      </w:r>
      <w:r w:rsidR="00510E85" w:rsidRPr="00AD0E9C">
        <w:rPr>
          <w:rFonts w:ascii="Times New Roman" w:hAnsi="Times New Roman" w:cs="Times New Roman"/>
          <w:color w:val="000000" w:themeColor="text1"/>
          <w:sz w:val="20"/>
          <w:szCs w:val="20"/>
          <w:lang w:val="en-US"/>
        </w:rPr>
        <w:t xml:space="preserve">investment </w:t>
      </w:r>
      <w:r w:rsidR="00216A86" w:rsidRPr="00AD0E9C">
        <w:rPr>
          <w:rFonts w:ascii="Times New Roman" w:hAnsi="Times New Roman" w:cs="Times New Roman"/>
          <w:color w:val="000000" w:themeColor="text1"/>
          <w:sz w:val="20"/>
          <w:szCs w:val="20"/>
          <w:lang w:val="en-US"/>
        </w:rPr>
        <w:t>is expected to</w:t>
      </w:r>
      <w:r w:rsidR="00207194" w:rsidRPr="00AD0E9C">
        <w:rPr>
          <w:rFonts w:ascii="Times New Roman" w:hAnsi="Times New Roman" w:cs="Times New Roman"/>
          <w:color w:val="000000" w:themeColor="text1"/>
          <w:sz w:val="20"/>
          <w:szCs w:val="20"/>
          <w:lang w:val="en-US"/>
        </w:rPr>
        <w:t xml:space="preserve"> </w:t>
      </w:r>
      <w:r w:rsidR="00510E85" w:rsidRPr="00AD0E9C">
        <w:rPr>
          <w:rFonts w:ascii="Times New Roman" w:hAnsi="Times New Roman" w:cs="Times New Roman"/>
          <w:color w:val="000000" w:themeColor="text1"/>
          <w:sz w:val="20"/>
          <w:szCs w:val="20"/>
          <w:lang w:val="en-US"/>
        </w:rPr>
        <w:t>take time. FC firms are fac</w:t>
      </w:r>
      <w:r w:rsidR="00216A86" w:rsidRPr="00AD0E9C">
        <w:rPr>
          <w:rFonts w:ascii="Times New Roman" w:hAnsi="Times New Roman" w:cs="Times New Roman"/>
          <w:color w:val="000000" w:themeColor="text1"/>
          <w:sz w:val="20"/>
          <w:szCs w:val="20"/>
          <w:lang w:val="en-US"/>
        </w:rPr>
        <w:t>ing</w:t>
      </w:r>
      <w:r w:rsidR="00510E85" w:rsidRPr="00AD0E9C">
        <w:rPr>
          <w:rFonts w:ascii="Times New Roman" w:hAnsi="Times New Roman" w:cs="Times New Roman"/>
          <w:color w:val="000000" w:themeColor="text1"/>
          <w:sz w:val="20"/>
          <w:szCs w:val="20"/>
          <w:lang w:val="en-US"/>
        </w:rPr>
        <w:t xml:space="preserve"> long payback period</w:t>
      </w:r>
      <w:r w:rsidR="00216A86" w:rsidRPr="00AD0E9C">
        <w:rPr>
          <w:rFonts w:ascii="Times New Roman" w:hAnsi="Times New Roman" w:cs="Times New Roman"/>
          <w:color w:val="000000" w:themeColor="text1"/>
          <w:sz w:val="20"/>
          <w:szCs w:val="20"/>
          <w:lang w:val="en-US"/>
        </w:rPr>
        <w:t>s,</w:t>
      </w:r>
      <w:r w:rsidR="00510E85" w:rsidRPr="00AD0E9C">
        <w:rPr>
          <w:rFonts w:ascii="Times New Roman" w:hAnsi="Times New Roman" w:cs="Times New Roman"/>
          <w:color w:val="000000" w:themeColor="text1"/>
          <w:sz w:val="20"/>
          <w:szCs w:val="20"/>
          <w:lang w:val="en-US"/>
        </w:rPr>
        <w:t xml:space="preserve"> and</w:t>
      </w:r>
      <w:r w:rsidR="00207194" w:rsidRPr="00AD0E9C">
        <w:rPr>
          <w:rFonts w:ascii="Times New Roman" w:hAnsi="Times New Roman" w:cs="Times New Roman"/>
          <w:color w:val="000000" w:themeColor="text1"/>
          <w:sz w:val="20"/>
          <w:szCs w:val="20"/>
          <w:lang w:val="en-US"/>
        </w:rPr>
        <w:t xml:space="preserve"> </w:t>
      </w:r>
      <w:r w:rsidR="00510E85" w:rsidRPr="00AD0E9C">
        <w:rPr>
          <w:rFonts w:ascii="Times New Roman" w:hAnsi="Times New Roman" w:cs="Times New Roman"/>
          <w:color w:val="000000" w:themeColor="text1"/>
          <w:sz w:val="20"/>
          <w:szCs w:val="20"/>
          <w:lang w:val="en-US"/>
        </w:rPr>
        <w:t>depend on subsidised projects, new venture funding or OEMs</w:t>
      </w:r>
      <w:r w:rsidR="00207194" w:rsidRPr="00AD0E9C">
        <w:rPr>
          <w:rFonts w:ascii="Times New Roman" w:hAnsi="Times New Roman" w:cs="Times New Roman"/>
          <w:color w:val="000000" w:themeColor="text1"/>
          <w:sz w:val="20"/>
          <w:szCs w:val="20"/>
          <w:lang w:val="en-US"/>
        </w:rPr>
        <w:t xml:space="preserve"> </w:t>
      </w:r>
      <w:r w:rsidR="00510E85" w:rsidRPr="00AD0E9C">
        <w:rPr>
          <w:rFonts w:ascii="Times New Roman" w:hAnsi="Times New Roman" w:cs="Times New Roman"/>
          <w:color w:val="000000" w:themeColor="text1"/>
          <w:sz w:val="20"/>
          <w:szCs w:val="20"/>
          <w:lang w:val="en-US"/>
        </w:rPr>
        <w:t xml:space="preserve">for capital to invest in further R&amp;D. </w:t>
      </w:r>
      <w:r w:rsidR="00216A86" w:rsidRPr="00AD0E9C">
        <w:rPr>
          <w:rFonts w:ascii="Times New Roman" w:hAnsi="Times New Roman" w:cs="Times New Roman"/>
          <w:color w:val="000000" w:themeColor="text1"/>
          <w:sz w:val="20"/>
          <w:szCs w:val="20"/>
          <w:lang w:val="en-US"/>
        </w:rPr>
        <w:t>However, t</w:t>
      </w:r>
      <w:r w:rsidR="00510E85" w:rsidRPr="00AD0E9C">
        <w:rPr>
          <w:rFonts w:ascii="Times New Roman" w:hAnsi="Times New Roman" w:cs="Times New Roman"/>
          <w:color w:val="000000" w:themeColor="text1"/>
          <w:sz w:val="20"/>
          <w:szCs w:val="20"/>
          <w:lang w:val="en-US"/>
        </w:rPr>
        <w:t xml:space="preserve">he FC industry </w:t>
      </w:r>
      <w:r w:rsidR="00216A86" w:rsidRPr="00AD0E9C">
        <w:rPr>
          <w:rFonts w:ascii="Times New Roman" w:hAnsi="Times New Roman" w:cs="Times New Roman"/>
          <w:color w:val="000000" w:themeColor="text1"/>
          <w:sz w:val="20"/>
          <w:szCs w:val="20"/>
          <w:lang w:val="en-US"/>
        </w:rPr>
        <w:t>exhibits</w:t>
      </w:r>
      <w:r w:rsidR="00510E85" w:rsidRPr="00AD0E9C">
        <w:rPr>
          <w:rFonts w:ascii="Times New Roman" w:hAnsi="Times New Roman" w:cs="Times New Roman"/>
          <w:color w:val="000000" w:themeColor="text1"/>
          <w:sz w:val="20"/>
          <w:szCs w:val="20"/>
          <w:lang w:val="en-US"/>
        </w:rPr>
        <w:t xml:space="preserve"> technical progress and sales</w:t>
      </w:r>
      <w:r w:rsidR="00207194" w:rsidRPr="00AD0E9C">
        <w:rPr>
          <w:rFonts w:ascii="Times New Roman" w:hAnsi="Times New Roman" w:cs="Times New Roman"/>
          <w:color w:val="000000" w:themeColor="text1"/>
          <w:sz w:val="20"/>
          <w:szCs w:val="20"/>
          <w:lang w:val="en-US"/>
        </w:rPr>
        <w:t xml:space="preserve"> </w:t>
      </w:r>
      <w:r w:rsidR="00510E85" w:rsidRPr="00AD0E9C">
        <w:rPr>
          <w:rFonts w:ascii="Times New Roman" w:hAnsi="Times New Roman" w:cs="Times New Roman"/>
          <w:color w:val="000000" w:themeColor="text1"/>
          <w:sz w:val="20"/>
          <w:szCs w:val="20"/>
          <w:lang w:val="en-US"/>
        </w:rPr>
        <w:t>in early markets, suggesting potential in a seemingly unhealthy</w:t>
      </w:r>
      <w:r w:rsidR="00207194" w:rsidRPr="00AD0E9C">
        <w:rPr>
          <w:rFonts w:ascii="Times New Roman" w:hAnsi="Times New Roman" w:cs="Times New Roman"/>
          <w:color w:val="000000" w:themeColor="text1"/>
          <w:sz w:val="20"/>
          <w:szCs w:val="20"/>
          <w:lang w:val="en-US"/>
        </w:rPr>
        <w:t xml:space="preserve"> </w:t>
      </w:r>
      <w:r w:rsidR="00510E85" w:rsidRPr="00AD0E9C">
        <w:rPr>
          <w:rFonts w:ascii="Times New Roman" w:hAnsi="Times New Roman" w:cs="Times New Roman"/>
          <w:color w:val="000000" w:themeColor="text1"/>
          <w:sz w:val="20"/>
          <w:szCs w:val="20"/>
          <w:lang w:val="en-US"/>
        </w:rPr>
        <w:t>industry [</w:t>
      </w:r>
      <w:r w:rsidR="00A45BB2" w:rsidRPr="00AD0E9C">
        <w:rPr>
          <w:rFonts w:ascii="Times New Roman" w:hAnsi="Times New Roman" w:cs="Times New Roman"/>
          <w:color w:val="000000" w:themeColor="text1"/>
          <w:sz w:val="20"/>
          <w:szCs w:val="20"/>
          <w:lang w:val="en-US"/>
        </w:rPr>
        <w:t>5</w:t>
      </w:r>
      <w:r w:rsidR="001710B0">
        <w:rPr>
          <w:rFonts w:ascii="Times New Roman" w:hAnsi="Times New Roman" w:cs="Times New Roman"/>
          <w:color w:val="000000" w:themeColor="text1"/>
          <w:sz w:val="20"/>
          <w:szCs w:val="20"/>
          <w:lang w:val="en-US"/>
        </w:rPr>
        <w:t>4</w:t>
      </w:r>
      <w:r w:rsidR="00A45BB2" w:rsidRPr="00AD0E9C">
        <w:rPr>
          <w:rFonts w:ascii="Times New Roman" w:hAnsi="Times New Roman" w:cs="Times New Roman"/>
          <w:color w:val="000000" w:themeColor="text1"/>
          <w:sz w:val="20"/>
          <w:szCs w:val="20"/>
          <w:lang w:val="en-US"/>
        </w:rPr>
        <w:t>-5</w:t>
      </w:r>
      <w:r w:rsidR="001710B0">
        <w:rPr>
          <w:rFonts w:ascii="Times New Roman" w:hAnsi="Times New Roman" w:cs="Times New Roman"/>
          <w:color w:val="000000" w:themeColor="text1"/>
          <w:sz w:val="20"/>
          <w:szCs w:val="20"/>
          <w:lang w:val="en-US"/>
        </w:rPr>
        <w:t>6</w:t>
      </w:r>
      <w:r w:rsidR="00F31509" w:rsidRPr="00AD0E9C">
        <w:rPr>
          <w:rFonts w:ascii="Times New Roman" w:hAnsi="Times New Roman" w:cs="Times New Roman"/>
          <w:bCs/>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 xml:space="preserve">The successful </w:t>
      </w:r>
      <w:r w:rsidR="00216A86" w:rsidRPr="00AD0E9C">
        <w:rPr>
          <w:rFonts w:ascii="Times New Roman" w:hAnsi="Times New Roman" w:cs="Times New Roman"/>
          <w:color w:val="000000" w:themeColor="text1"/>
          <w:sz w:val="20"/>
          <w:szCs w:val="20"/>
          <w:lang w:val="en-US"/>
        </w:rPr>
        <w:t>commercialization</w:t>
      </w:r>
      <w:r w:rsidR="00C43740" w:rsidRPr="00AD0E9C">
        <w:rPr>
          <w:rFonts w:ascii="Times New Roman" w:hAnsi="Times New Roman" w:cs="Times New Roman"/>
          <w:color w:val="000000" w:themeColor="text1"/>
          <w:sz w:val="20"/>
          <w:szCs w:val="20"/>
          <w:lang w:val="en-US"/>
        </w:rPr>
        <w:t xml:space="preserve"> of </w:t>
      </w:r>
      <w:r w:rsidR="00216A86" w:rsidRPr="00AD0E9C">
        <w:rPr>
          <w:rFonts w:ascii="Times New Roman" w:hAnsi="Times New Roman" w:cs="Times New Roman"/>
          <w:color w:val="000000" w:themeColor="text1"/>
          <w:sz w:val="20"/>
          <w:szCs w:val="20"/>
          <w:lang w:val="en-US"/>
        </w:rPr>
        <w:t>fuel cell is expected to</w:t>
      </w:r>
      <w:r w:rsidR="00207194" w:rsidRPr="00AD0E9C">
        <w:rPr>
          <w:rFonts w:ascii="Times New Roman" w:hAnsi="Times New Roman" w:cs="Times New Roman"/>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require a substantial amount of investment and in the</w:t>
      </w:r>
      <w:r w:rsidR="00207194" w:rsidRPr="00AD0E9C">
        <w:rPr>
          <w:rFonts w:ascii="Times New Roman" w:hAnsi="Times New Roman" w:cs="Times New Roman"/>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case of a start up company this often means many rounds</w:t>
      </w:r>
      <w:r w:rsidR="00207194" w:rsidRPr="00AD0E9C">
        <w:rPr>
          <w:rFonts w:ascii="Times New Roman" w:hAnsi="Times New Roman" w:cs="Times New Roman"/>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of fund raising, with each succeeding round requiring more</w:t>
      </w:r>
      <w:r w:rsidR="00207194" w:rsidRPr="00AD0E9C">
        <w:rPr>
          <w:rFonts w:ascii="Times New Roman" w:hAnsi="Times New Roman" w:cs="Times New Roman"/>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cash than the last as the company develops its product and</w:t>
      </w:r>
      <w:r w:rsidR="00207194" w:rsidRPr="00AD0E9C">
        <w:rPr>
          <w:rFonts w:ascii="Times New Roman" w:hAnsi="Times New Roman" w:cs="Times New Roman"/>
          <w:color w:val="000000" w:themeColor="text1"/>
          <w:sz w:val="20"/>
          <w:szCs w:val="20"/>
          <w:lang w:val="en-US"/>
        </w:rPr>
        <w:t xml:space="preserve"> </w:t>
      </w:r>
      <w:r w:rsidR="00C43740" w:rsidRPr="00AD0E9C">
        <w:rPr>
          <w:rFonts w:ascii="Times New Roman" w:hAnsi="Times New Roman" w:cs="Times New Roman"/>
          <w:color w:val="000000" w:themeColor="text1"/>
          <w:sz w:val="20"/>
          <w:szCs w:val="20"/>
          <w:lang w:val="en-US"/>
        </w:rPr>
        <w:t xml:space="preserve">expands its workforce. The </w:t>
      </w:r>
      <w:r w:rsidR="00207194" w:rsidRPr="00AD0E9C">
        <w:rPr>
          <w:rFonts w:ascii="Times New Roman" w:hAnsi="Times New Roman" w:cs="Times New Roman"/>
          <w:color w:val="000000" w:themeColor="text1"/>
          <w:sz w:val="20"/>
          <w:szCs w:val="20"/>
          <w:lang w:val="en-US"/>
        </w:rPr>
        <w:t>fi</w:t>
      </w:r>
      <w:r w:rsidR="00C43740" w:rsidRPr="00AD0E9C">
        <w:rPr>
          <w:rFonts w:ascii="Times New Roman" w:hAnsi="Times New Roman" w:cs="Times New Roman"/>
          <w:color w:val="000000" w:themeColor="text1"/>
          <w:sz w:val="20"/>
          <w:szCs w:val="20"/>
          <w:lang w:val="en-US"/>
        </w:rPr>
        <w:t xml:space="preserve">nancing of fuel cell ventures </w:t>
      </w:r>
      <w:r w:rsidR="00F31509" w:rsidRPr="00AD0E9C">
        <w:rPr>
          <w:rFonts w:ascii="Times New Roman" w:hAnsi="Times New Roman" w:cs="Times New Roman"/>
          <w:color w:val="000000" w:themeColor="text1"/>
          <w:sz w:val="20"/>
          <w:szCs w:val="20"/>
          <w:lang w:val="en-US"/>
        </w:rPr>
        <w:t>are expected to</w:t>
      </w:r>
      <w:r w:rsidR="00C43740" w:rsidRPr="00AD0E9C">
        <w:rPr>
          <w:rFonts w:ascii="Times New Roman" w:hAnsi="Times New Roman" w:cs="Times New Roman"/>
          <w:color w:val="000000" w:themeColor="text1"/>
          <w:sz w:val="20"/>
          <w:szCs w:val="20"/>
          <w:lang w:val="en-US"/>
        </w:rPr>
        <w:t xml:space="preserve"> remain</w:t>
      </w:r>
      <w:r w:rsidR="00207194" w:rsidRPr="00AD0E9C">
        <w:rPr>
          <w:rFonts w:ascii="Times New Roman" w:hAnsi="Times New Roman" w:cs="Times New Roman"/>
          <w:color w:val="000000" w:themeColor="text1"/>
          <w:sz w:val="20"/>
          <w:szCs w:val="20"/>
          <w:lang w:val="en-US"/>
        </w:rPr>
        <w:t xml:space="preserve"> </w:t>
      </w:r>
      <w:r w:rsidR="00F31509" w:rsidRPr="00AD0E9C">
        <w:rPr>
          <w:rFonts w:ascii="Times New Roman" w:hAnsi="Times New Roman" w:cs="Times New Roman"/>
          <w:color w:val="000000" w:themeColor="text1"/>
          <w:sz w:val="20"/>
          <w:szCs w:val="20"/>
          <w:lang w:val="en-US"/>
        </w:rPr>
        <w:t>difficult</w:t>
      </w:r>
      <w:r w:rsidR="00C43740" w:rsidRPr="00AD0E9C">
        <w:rPr>
          <w:rFonts w:ascii="Times New Roman" w:hAnsi="Times New Roman" w:cs="Times New Roman"/>
          <w:color w:val="000000" w:themeColor="text1"/>
          <w:sz w:val="20"/>
          <w:szCs w:val="20"/>
          <w:lang w:val="en-US"/>
        </w:rPr>
        <w:t xml:space="preserve"> for the foresee</w:t>
      </w:r>
      <w:r w:rsidR="00F31509" w:rsidRPr="00AD0E9C">
        <w:rPr>
          <w:rFonts w:ascii="Times New Roman" w:hAnsi="Times New Roman" w:cs="Times New Roman"/>
          <w:color w:val="000000" w:themeColor="text1"/>
          <w:sz w:val="20"/>
          <w:szCs w:val="20"/>
          <w:lang w:val="en-US"/>
        </w:rPr>
        <w:t xml:space="preserve">able future </w:t>
      </w:r>
      <w:r w:rsidR="00C43740" w:rsidRPr="00AD0E9C">
        <w:rPr>
          <w:rFonts w:ascii="Times New Roman" w:hAnsi="Times New Roman" w:cs="Times New Roman"/>
          <w:bCs/>
          <w:color w:val="000000" w:themeColor="text1"/>
          <w:sz w:val="20"/>
          <w:szCs w:val="20"/>
          <w:lang w:val="en-US"/>
        </w:rPr>
        <w:t>[</w:t>
      </w:r>
      <w:r w:rsidR="00A45BB2" w:rsidRPr="00AD0E9C">
        <w:rPr>
          <w:rFonts w:ascii="Times New Roman" w:hAnsi="Times New Roman" w:cs="Times New Roman"/>
          <w:bCs/>
          <w:color w:val="000000" w:themeColor="text1"/>
          <w:sz w:val="20"/>
          <w:szCs w:val="20"/>
          <w:lang w:val="en-US"/>
        </w:rPr>
        <w:t>5</w:t>
      </w:r>
      <w:r w:rsidR="001710B0">
        <w:rPr>
          <w:rFonts w:ascii="Times New Roman" w:hAnsi="Times New Roman" w:cs="Times New Roman"/>
          <w:bCs/>
          <w:color w:val="000000" w:themeColor="text1"/>
          <w:sz w:val="20"/>
          <w:szCs w:val="20"/>
          <w:lang w:val="en-US"/>
        </w:rPr>
        <w:t>7</w:t>
      </w:r>
      <w:r w:rsidR="00C43740" w:rsidRPr="00AD0E9C">
        <w:rPr>
          <w:rFonts w:ascii="Times New Roman" w:hAnsi="Times New Roman" w:cs="Times New Roman"/>
          <w:bCs/>
          <w:color w:val="000000" w:themeColor="text1"/>
          <w:sz w:val="20"/>
          <w:szCs w:val="20"/>
          <w:lang w:val="en-US"/>
        </w:rPr>
        <w:t>]</w:t>
      </w:r>
      <w:r w:rsidR="00F31509" w:rsidRPr="00AD0E9C">
        <w:rPr>
          <w:rFonts w:ascii="Times New Roman" w:hAnsi="Times New Roman" w:cs="Times New Roman"/>
          <w:bCs/>
          <w:color w:val="000000" w:themeColor="text1"/>
          <w:sz w:val="20"/>
          <w:szCs w:val="20"/>
          <w:lang w:val="en-US"/>
        </w:rPr>
        <w:t>.</w:t>
      </w:r>
    </w:p>
    <w:p w:rsidR="00510E85" w:rsidRPr="00AD0E9C" w:rsidRDefault="00510E85" w:rsidP="003066A0">
      <w:pPr>
        <w:widowControl w:val="0"/>
        <w:autoSpaceDE w:val="0"/>
        <w:autoSpaceDN w:val="0"/>
        <w:adjustRightInd w:val="0"/>
        <w:spacing w:after="0" w:line="240" w:lineRule="auto"/>
        <w:rPr>
          <w:rFonts w:ascii="Times New Roman" w:hAnsi="Times New Roman" w:cs="Times New Roman"/>
          <w:b/>
          <w:bCs/>
          <w:color w:val="000000" w:themeColor="text1"/>
          <w:sz w:val="20"/>
          <w:szCs w:val="20"/>
          <w:lang w:val="en-US"/>
        </w:rPr>
      </w:pPr>
    </w:p>
    <w:p w:rsidR="00C91F07" w:rsidRPr="008F23CC" w:rsidRDefault="0064249C" w:rsidP="003066A0">
      <w:pPr>
        <w:widowControl w:val="0"/>
        <w:autoSpaceDE w:val="0"/>
        <w:autoSpaceDN w:val="0"/>
        <w:adjustRightInd w:val="0"/>
        <w:spacing w:after="0" w:line="240" w:lineRule="auto"/>
        <w:rPr>
          <w:rFonts w:ascii="Times New Roman" w:hAnsi="Times New Roman" w:cs="Times New Roman"/>
          <w:b/>
          <w:bCs/>
          <w:sz w:val="20"/>
          <w:szCs w:val="20"/>
          <w:lang w:val="en-US"/>
        </w:rPr>
      </w:pPr>
      <w:r w:rsidRPr="008F23CC">
        <w:rPr>
          <w:rFonts w:ascii="Times New Roman" w:hAnsi="Times New Roman" w:cs="Times New Roman"/>
          <w:b/>
          <w:bCs/>
          <w:sz w:val="20"/>
          <w:szCs w:val="20"/>
          <w:lang w:val="en-US"/>
        </w:rPr>
        <w:t xml:space="preserve">Fuel Cell </w:t>
      </w:r>
      <w:r w:rsidR="00C91F07" w:rsidRPr="008F23CC">
        <w:rPr>
          <w:rFonts w:ascii="Times New Roman" w:hAnsi="Times New Roman" w:cs="Times New Roman"/>
          <w:b/>
          <w:bCs/>
          <w:sz w:val="20"/>
          <w:szCs w:val="20"/>
          <w:lang w:val="en-US"/>
        </w:rPr>
        <w:t xml:space="preserve">Market </w:t>
      </w:r>
      <w:r w:rsidRPr="008F23CC">
        <w:rPr>
          <w:rFonts w:ascii="Times New Roman" w:hAnsi="Times New Roman" w:cs="Times New Roman"/>
          <w:b/>
          <w:bCs/>
          <w:sz w:val="20"/>
          <w:szCs w:val="20"/>
          <w:lang w:val="en-US"/>
        </w:rPr>
        <w:t>P</w:t>
      </w:r>
      <w:r w:rsidR="000224E5" w:rsidRPr="008F23CC">
        <w:rPr>
          <w:rFonts w:ascii="Times New Roman" w:hAnsi="Times New Roman" w:cs="Times New Roman"/>
          <w:b/>
          <w:bCs/>
          <w:sz w:val="20"/>
          <w:szCs w:val="20"/>
          <w:lang w:val="en-US"/>
        </w:rPr>
        <w:t>rojections</w:t>
      </w:r>
      <w:r w:rsidR="00737062" w:rsidRPr="008F23CC">
        <w:rPr>
          <w:rFonts w:ascii="Times New Roman" w:hAnsi="Times New Roman" w:cs="Times New Roman"/>
          <w:b/>
          <w:bCs/>
          <w:sz w:val="20"/>
          <w:szCs w:val="20"/>
          <w:lang w:val="en-US"/>
        </w:rPr>
        <w:t xml:space="preserve"> [</w:t>
      </w:r>
      <w:r w:rsidR="00A45BB2">
        <w:rPr>
          <w:rFonts w:ascii="Times New Roman" w:hAnsi="Times New Roman" w:cs="Times New Roman"/>
          <w:b/>
          <w:bCs/>
          <w:sz w:val="20"/>
          <w:szCs w:val="20"/>
          <w:lang w:val="en-US"/>
        </w:rPr>
        <w:t>3</w:t>
      </w:r>
      <w:r w:rsidR="00737062" w:rsidRPr="008F23CC">
        <w:rPr>
          <w:rFonts w:ascii="Times New Roman" w:hAnsi="Times New Roman" w:cs="Times New Roman"/>
          <w:b/>
          <w:bCs/>
          <w:sz w:val="20"/>
          <w:szCs w:val="20"/>
          <w:lang w:val="en-US"/>
        </w:rPr>
        <w:t>]</w:t>
      </w:r>
    </w:p>
    <w:p w:rsidR="00C91F07" w:rsidRPr="008F23CC" w:rsidRDefault="002470FD" w:rsidP="00CE68D1">
      <w:pPr>
        <w:widowControl w:val="0"/>
        <w:autoSpaceDE w:val="0"/>
        <w:autoSpaceDN w:val="0"/>
        <w:adjustRightInd w:val="0"/>
        <w:spacing w:after="0" w:line="240" w:lineRule="auto"/>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In 2002</w:t>
      </w:r>
      <w:r w:rsidR="00C91F07" w:rsidRPr="008F23CC">
        <w:rPr>
          <w:rFonts w:ascii="Times New Roman" w:hAnsi="Times New Roman" w:cs="Times New Roman"/>
          <w:sz w:val="20"/>
          <w:szCs w:val="20"/>
          <w:lang w:val="en-US"/>
        </w:rPr>
        <w:t xml:space="preserve"> it </w:t>
      </w:r>
      <w:r w:rsidRPr="008F23CC">
        <w:rPr>
          <w:rFonts w:ascii="Times New Roman" w:hAnsi="Times New Roman" w:cs="Times New Roman"/>
          <w:sz w:val="20"/>
          <w:szCs w:val="20"/>
          <w:lang w:val="en-US"/>
        </w:rPr>
        <w:t>was</w:t>
      </w:r>
      <w:r w:rsidR="00C91F07" w:rsidRPr="008F23CC">
        <w:rPr>
          <w:rFonts w:ascii="Times New Roman" w:hAnsi="Times New Roman" w:cs="Times New Roman"/>
          <w:sz w:val="20"/>
          <w:szCs w:val="20"/>
          <w:lang w:val="en-US"/>
        </w:rPr>
        <w:t xml:space="preserve"> estimated that </w:t>
      </w:r>
      <w:r w:rsidRPr="008F23CC">
        <w:rPr>
          <w:rFonts w:ascii="Times New Roman" w:hAnsi="Times New Roman" w:cs="Times New Roman"/>
          <w:sz w:val="20"/>
          <w:szCs w:val="20"/>
          <w:lang w:val="en-US"/>
        </w:rPr>
        <w:t xml:space="preserve">above 1000 small (&lt; 10 kWel) and almost </w:t>
      </w:r>
      <w:r w:rsidR="00C91F07" w:rsidRPr="008F23CC">
        <w:rPr>
          <w:rFonts w:ascii="Times New Roman" w:hAnsi="Times New Roman" w:cs="Times New Roman"/>
          <w:sz w:val="20"/>
          <w:szCs w:val="20"/>
          <w:lang w:val="en-US"/>
        </w:rPr>
        <w:t xml:space="preserve">600 </w:t>
      </w:r>
      <w:r w:rsidRPr="008F23CC">
        <w:rPr>
          <w:rFonts w:ascii="Times New Roman" w:hAnsi="Times New Roman" w:cs="Times New Roman"/>
          <w:sz w:val="20"/>
          <w:szCs w:val="20"/>
          <w:lang w:val="en-US"/>
        </w:rPr>
        <w:t xml:space="preserve">medium (&gt; 10 kWel) </w:t>
      </w:r>
      <w:r w:rsidR="00C91F07" w:rsidRPr="008F23CC">
        <w:rPr>
          <w:rFonts w:ascii="Times New Roman" w:hAnsi="Times New Roman" w:cs="Times New Roman"/>
          <w:sz w:val="20"/>
          <w:szCs w:val="20"/>
          <w:lang w:val="en-US"/>
        </w:rPr>
        <w:t>fuel cell systems</w:t>
      </w:r>
      <w:r w:rsidR="00D9209E"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were in operation</w:t>
      </w:r>
      <w:r w:rsidR="00C91F07" w:rsidRPr="008F23CC">
        <w:rPr>
          <w:rFonts w:ascii="Times New Roman" w:hAnsi="Times New Roman" w:cs="Times New Roman"/>
          <w:sz w:val="20"/>
          <w:szCs w:val="20"/>
          <w:lang w:val="en-US"/>
        </w:rPr>
        <w:t xml:space="preserve"> </w:t>
      </w:r>
      <w:r w:rsidR="00A45BB2">
        <w:rPr>
          <w:rFonts w:ascii="Times New Roman" w:hAnsi="Times New Roman" w:cs="Times New Roman"/>
          <w:sz w:val="20"/>
          <w:szCs w:val="20"/>
          <w:lang w:val="en-US"/>
        </w:rPr>
        <w:t>[5</w:t>
      </w:r>
      <w:r w:rsidR="001710B0">
        <w:rPr>
          <w:rFonts w:ascii="Times New Roman" w:hAnsi="Times New Roman" w:cs="Times New Roman"/>
          <w:sz w:val="20"/>
          <w:szCs w:val="20"/>
          <w:lang w:val="en-US"/>
        </w:rPr>
        <w:t>8</w:t>
      </w:r>
      <w:r w:rsidR="00A45BB2">
        <w:rPr>
          <w:rFonts w:ascii="Times New Roman" w:hAnsi="Times New Roman" w:cs="Times New Roman"/>
          <w:sz w:val="20"/>
          <w:szCs w:val="20"/>
          <w:lang w:val="en-US"/>
        </w:rPr>
        <w:t>]</w:t>
      </w:r>
      <w:r w:rsidR="00C91F07" w:rsidRPr="008F23CC">
        <w:rPr>
          <w:rFonts w:ascii="Times New Roman" w:hAnsi="Times New Roman" w:cs="Times New Roman"/>
          <w:sz w:val="20"/>
          <w:szCs w:val="20"/>
          <w:lang w:val="en-US"/>
        </w:rPr>
        <w:t xml:space="preserve">. </w:t>
      </w:r>
      <w:r w:rsidRPr="008F23CC">
        <w:rPr>
          <w:rFonts w:ascii="Times New Roman" w:hAnsi="Times New Roman" w:cs="Times New Roman"/>
          <w:sz w:val="20"/>
          <w:szCs w:val="20"/>
          <w:lang w:val="en-US"/>
        </w:rPr>
        <w:t xml:space="preserve">Today, </w:t>
      </w:r>
      <w:r w:rsidR="00C91F07" w:rsidRPr="008F23CC">
        <w:rPr>
          <w:rFonts w:ascii="Times New Roman" w:hAnsi="Times New Roman" w:cs="Times New Roman"/>
          <w:sz w:val="20"/>
          <w:szCs w:val="20"/>
          <w:lang w:val="en-US"/>
        </w:rPr>
        <w:t xml:space="preserve">fuel cell market surveys predict an increase in </w:t>
      </w:r>
      <w:r w:rsidR="00D9209E" w:rsidRPr="008F23CC">
        <w:rPr>
          <w:rFonts w:ascii="Times New Roman" w:hAnsi="Times New Roman" w:cs="Times New Roman"/>
          <w:sz w:val="20"/>
          <w:szCs w:val="20"/>
          <w:lang w:val="en-US"/>
        </w:rPr>
        <w:t xml:space="preserve">decentralized </w:t>
      </w:r>
      <w:r w:rsidR="00C91F07" w:rsidRPr="008F23CC">
        <w:rPr>
          <w:rFonts w:ascii="Times New Roman" w:hAnsi="Times New Roman" w:cs="Times New Roman"/>
          <w:sz w:val="20"/>
          <w:szCs w:val="20"/>
          <w:lang w:val="en-US"/>
        </w:rPr>
        <w:t xml:space="preserve">energy supply </w:t>
      </w:r>
      <w:r w:rsidR="00D9209E" w:rsidRPr="008F23CC">
        <w:rPr>
          <w:rFonts w:ascii="Times New Roman" w:hAnsi="Times New Roman" w:cs="Times New Roman"/>
          <w:sz w:val="20"/>
          <w:szCs w:val="20"/>
          <w:lang w:val="en-US"/>
        </w:rPr>
        <w:t>(</w:t>
      </w:r>
      <w:r w:rsidR="00C91F07" w:rsidRPr="008F23CC">
        <w:rPr>
          <w:rFonts w:ascii="Times New Roman" w:hAnsi="Times New Roman" w:cs="Times New Roman"/>
          <w:sz w:val="20"/>
          <w:szCs w:val="20"/>
          <w:lang w:val="en-US"/>
        </w:rPr>
        <w:t>regardless the</w:t>
      </w:r>
      <w:r w:rsidR="00D9209E" w:rsidRPr="008F23CC">
        <w:rPr>
          <w:rFonts w:ascii="Times New Roman" w:hAnsi="Times New Roman" w:cs="Times New Roman"/>
          <w:sz w:val="20"/>
          <w:szCs w:val="20"/>
          <w:lang w:val="en-US"/>
        </w:rPr>
        <w:t xml:space="preserve"> </w:t>
      </w:r>
      <w:r w:rsidR="00C91F07" w:rsidRPr="008F23CC">
        <w:rPr>
          <w:rFonts w:ascii="Times New Roman" w:hAnsi="Times New Roman" w:cs="Times New Roman"/>
          <w:sz w:val="20"/>
          <w:szCs w:val="20"/>
          <w:lang w:val="en-US"/>
        </w:rPr>
        <w:t>technology</w:t>
      </w:r>
      <w:r w:rsidR="00D9209E" w:rsidRPr="008F23CC">
        <w:rPr>
          <w:rFonts w:ascii="Times New Roman" w:hAnsi="Times New Roman" w:cs="Times New Roman"/>
          <w:sz w:val="20"/>
          <w:szCs w:val="20"/>
          <w:lang w:val="en-US"/>
        </w:rPr>
        <w:t>)</w:t>
      </w:r>
      <w:r w:rsidR="00C91F07" w:rsidRPr="008F23CC">
        <w:rPr>
          <w:rFonts w:ascii="Times New Roman" w:hAnsi="Times New Roman" w:cs="Times New Roman"/>
          <w:sz w:val="20"/>
          <w:szCs w:val="20"/>
          <w:lang w:val="en-US"/>
        </w:rPr>
        <w:t xml:space="preserve">, with fuel cells being one </w:t>
      </w:r>
      <w:r w:rsidR="00D9209E" w:rsidRPr="008F23CC">
        <w:rPr>
          <w:rFonts w:ascii="Times New Roman" w:hAnsi="Times New Roman" w:cs="Times New Roman"/>
          <w:sz w:val="20"/>
          <w:szCs w:val="20"/>
          <w:lang w:val="en-US"/>
        </w:rPr>
        <w:t>of the</w:t>
      </w:r>
      <w:r w:rsidR="00C91F07" w:rsidRPr="008F23CC">
        <w:rPr>
          <w:rFonts w:ascii="Times New Roman" w:hAnsi="Times New Roman" w:cs="Times New Roman"/>
          <w:sz w:val="20"/>
          <w:szCs w:val="20"/>
          <w:lang w:val="en-US"/>
        </w:rPr>
        <w:t xml:space="preserve"> option</w:t>
      </w:r>
      <w:r w:rsidR="00D9209E" w:rsidRPr="008F23CC">
        <w:rPr>
          <w:rFonts w:ascii="Times New Roman" w:hAnsi="Times New Roman" w:cs="Times New Roman"/>
          <w:sz w:val="20"/>
          <w:szCs w:val="20"/>
          <w:lang w:val="en-US"/>
        </w:rPr>
        <w:t>s</w:t>
      </w:r>
      <w:r w:rsidR="00F31509" w:rsidRPr="008F23CC">
        <w:rPr>
          <w:rFonts w:ascii="Times New Roman" w:hAnsi="Times New Roman" w:cs="Times New Roman"/>
          <w:sz w:val="20"/>
          <w:szCs w:val="20"/>
          <w:lang w:val="en-US"/>
        </w:rPr>
        <w:t xml:space="preserve">. A summarization of their </w:t>
      </w:r>
      <w:r w:rsidR="00CE68D1" w:rsidRPr="008F23CC">
        <w:rPr>
          <w:rFonts w:ascii="Times New Roman" w:hAnsi="Times New Roman" w:cs="Times New Roman"/>
          <w:sz w:val="20"/>
          <w:szCs w:val="20"/>
          <w:lang w:val="en-US"/>
        </w:rPr>
        <w:t>conclusion</w:t>
      </w:r>
      <w:r w:rsidR="00F31509" w:rsidRPr="008F23CC">
        <w:rPr>
          <w:rFonts w:ascii="Times New Roman" w:hAnsi="Times New Roman" w:cs="Times New Roman"/>
          <w:sz w:val="20"/>
          <w:szCs w:val="20"/>
          <w:lang w:val="en-US"/>
        </w:rPr>
        <w:t xml:space="preserve"> </w:t>
      </w:r>
      <w:r w:rsidR="00CE68D1" w:rsidRPr="008F23CC">
        <w:rPr>
          <w:rFonts w:ascii="Times New Roman" w:hAnsi="Times New Roman" w:cs="Times New Roman"/>
          <w:sz w:val="20"/>
          <w:szCs w:val="20"/>
          <w:lang w:val="en-US"/>
        </w:rPr>
        <w:t>is presented flowingly</w:t>
      </w:r>
      <w:r w:rsidR="000B6567" w:rsidRPr="008F23CC">
        <w:rPr>
          <w:rFonts w:ascii="Times New Roman" w:hAnsi="Times New Roman" w:cs="Times New Roman"/>
          <w:sz w:val="20"/>
          <w:szCs w:val="20"/>
          <w:lang w:val="en-US"/>
        </w:rPr>
        <w:t xml:space="preserve"> [</w:t>
      </w:r>
      <w:r w:rsidR="00A45BB2">
        <w:rPr>
          <w:rFonts w:ascii="Times New Roman" w:hAnsi="Times New Roman" w:cs="Times New Roman"/>
          <w:sz w:val="20"/>
          <w:szCs w:val="20"/>
          <w:lang w:val="en-US"/>
        </w:rPr>
        <w:t>3</w:t>
      </w:r>
      <w:r w:rsidR="000B6567" w:rsidRPr="008F23CC">
        <w:rPr>
          <w:rFonts w:ascii="Times New Roman" w:hAnsi="Times New Roman" w:cs="Times New Roman"/>
          <w:sz w:val="20"/>
          <w:szCs w:val="20"/>
          <w:lang w:val="en-US"/>
        </w:rPr>
        <w:t>]</w:t>
      </w:r>
      <w:r w:rsidR="00AF0A5C" w:rsidRPr="008F23CC">
        <w:rPr>
          <w:rFonts w:ascii="Times New Roman" w:hAnsi="Times New Roman" w:cs="Times New Roman"/>
          <w:sz w:val="20"/>
          <w:szCs w:val="20"/>
          <w:lang w:val="en-US"/>
        </w:rPr>
        <w:t>:</w:t>
      </w:r>
    </w:p>
    <w:p w:rsidR="00CE68D1" w:rsidRPr="00227DD3" w:rsidRDefault="00CE68D1" w:rsidP="00CE68D1">
      <w:pPr>
        <w:widowControl w:val="0"/>
        <w:autoSpaceDE w:val="0"/>
        <w:autoSpaceDN w:val="0"/>
        <w:adjustRightInd w:val="0"/>
        <w:spacing w:after="0" w:line="240" w:lineRule="auto"/>
        <w:jc w:val="both"/>
        <w:rPr>
          <w:rFonts w:ascii="Times New Roman" w:hAnsi="Times New Roman" w:cs="Times New Roman"/>
          <w:color w:val="000000"/>
          <w:sz w:val="16"/>
          <w:szCs w:val="16"/>
          <w:lang w:val="en-US"/>
        </w:rPr>
      </w:pPr>
    </w:p>
    <w:p w:rsidR="00D9209E"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on global scale, 95 GW of cumulative fuel cell capacity by 2020 (more than 50 % of the total distributed generation capacity) - Figure 5</w:t>
      </w:r>
      <w:r w:rsidR="00A45BB2">
        <w:rPr>
          <w:rFonts w:ascii="Times New Roman" w:hAnsi="Times New Roman" w:cs="Times New Roman"/>
          <w:color w:val="000000"/>
          <w:sz w:val="20"/>
          <w:szCs w:val="20"/>
          <w:lang w:val="en-US"/>
        </w:rPr>
        <w:t xml:space="preserve"> [5</w:t>
      </w:r>
      <w:r w:rsidR="001710B0">
        <w:rPr>
          <w:rFonts w:ascii="Times New Roman" w:hAnsi="Times New Roman" w:cs="Times New Roman"/>
          <w:color w:val="000000"/>
          <w:sz w:val="20"/>
          <w:szCs w:val="20"/>
          <w:lang w:val="en-US"/>
        </w:rPr>
        <w:t>9</w:t>
      </w:r>
      <w:r w:rsidR="00A45BB2">
        <w:rPr>
          <w:rFonts w:ascii="Times New Roman" w:hAnsi="Times New Roman" w:cs="Times New Roman"/>
          <w:color w:val="000000"/>
          <w:sz w:val="20"/>
          <w:szCs w:val="20"/>
          <w:lang w:val="en-US"/>
        </w:rPr>
        <w:t>]</w:t>
      </w:r>
    </w:p>
    <w:p w:rsidR="00CE68D1" w:rsidRPr="00227DD3" w:rsidRDefault="00CE68D1" w:rsidP="00227DD3">
      <w:pPr>
        <w:widowControl w:val="0"/>
        <w:autoSpaceDE w:val="0"/>
        <w:autoSpaceDN w:val="0"/>
        <w:adjustRightInd w:val="0"/>
        <w:spacing w:after="0" w:line="240" w:lineRule="auto"/>
        <w:ind w:left="284" w:right="135" w:hanging="142"/>
        <w:jc w:val="both"/>
        <w:rPr>
          <w:rFonts w:ascii="Times New Roman" w:hAnsi="Times New Roman" w:cs="Times New Roman"/>
          <w:color w:val="000000"/>
          <w:sz w:val="10"/>
          <w:szCs w:val="10"/>
          <w:lang w:val="en-US"/>
        </w:rPr>
      </w:pPr>
    </w:p>
    <w:p w:rsidR="00AF0A5C"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color w:val="000000"/>
          <w:sz w:val="20"/>
          <w:szCs w:val="20"/>
          <w:lang w:val="en-US"/>
        </w:rPr>
      </w:pPr>
      <w:r w:rsidRPr="008F23CC">
        <w:rPr>
          <w:rFonts w:ascii="Times New Roman" w:hAnsi="Times New Roman" w:cs="Times New Roman"/>
          <w:color w:val="000000"/>
          <w:sz w:val="20"/>
          <w:szCs w:val="20"/>
          <w:lang w:val="en-US"/>
        </w:rPr>
        <w:t xml:space="preserve">150 GW installed capacity worldwide in the year 2020 </w:t>
      </w:r>
      <w:r w:rsidR="00227DD3">
        <w:rPr>
          <w:rFonts w:ascii="Times New Roman" w:hAnsi="Times New Roman" w:cs="Times New Roman"/>
          <w:color w:val="000000"/>
          <w:sz w:val="20"/>
          <w:szCs w:val="20"/>
          <w:lang w:val="en-US"/>
        </w:rPr>
        <w:t>[</w:t>
      </w:r>
      <w:r w:rsidR="001710B0">
        <w:rPr>
          <w:rFonts w:ascii="Times New Roman" w:hAnsi="Times New Roman" w:cs="Times New Roman"/>
          <w:color w:val="000000"/>
          <w:sz w:val="20"/>
          <w:szCs w:val="20"/>
          <w:lang w:val="en-US"/>
        </w:rPr>
        <w:t>60</w:t>
      </w:r>
      <w:r w:rsidR="00227DD3">
        <w:rPr>
          <w:rFonts w:ascii="Times New Roman" w:hAnsi="Times New Roman" w:cs="Times New Roman"/>
          <w:color w:val="000000"/>
          <w:sz w:val="20"/>
          <w:szCs w:val="20"/>
          <w:lang w:val="en-US"/>
        </w:rPr>
        <w:t>]</w:t>
      </w:r>
      <w:r w:rsidRPr="00227DD3">
        <w:rPr>
          <w:rFonts w:ascii="Times New Roman" w:hAnsi="Times New Roman" w:cs="Times New Roman"/>
          <w:sz w:val="20"/>
          <w:szCs w:val="20"/>
          <w:lang w:val="en-US"/>
        </w:rPr>
        <w:t xml:space="preserve"> </w:t>
      </w:r>
    </w:p>
    <w:p w:rsidR="00AF0A5C" w:rsidRPr="00227DD3" w:rsidRDefault="00AF0A5C"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AF0A5C"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bCs/>
          <w:sz w:val="20"/>
          <w:szCs w:val="20"/>
          <w:lang w:val="en-US"/>
        </w:rPr>
      </w:pPr>
      <w:r w:rsidRPr="008F23CC">
        <w:rPr>
          <w:rFonts w:ascii="Times New Roman" w:hAnsi="Times New Roman" w:cs="Times New Roman"/>
          <w:sz w:val="20"/>
          <w:szCs w:val="20"/>
          <w:lang w:val="en-US"/>
        </w:rPr>
        <w:t>from 20 GW now to 280 – 350 GW in 2011, for decentralized electricity supply, worldwide, with progressing fuel cell contribution</w:t>
      </w:r>
      <w:r w:rsidRPr="008F23CC">
        <w:rPr>
          <w:rFonts w:ascii="Times New Roman" w:hAnsi="Times New Roman" w:cs="Times New Roman"/>
          <w:bCs/>
          <w:sz w:val="20"/>
          <w:szCs w:val="20"/>
          <w:lang w:val="en-US"/>
        </w:rPr>
        <w:t xml:space="preserve"> </w:t>
      </w:r>
      <w:r w:rsidR="00227DD3">
        <w:rPr>
          <w:rFonts w:ascii="Times New Roman" w:hAnsi="Times New Roman" w:cs="Times New Roman"/>
          <w:bCs/>
          <w:sz w:val="20"/>
          <w:szCs w:val="20"/>
          <w:lang w:val="en-US"/>
        </w:rPr>
        <w:t>[</w:t>
      </w:r>
      <w:r w:rsidR="00791172">
        <w:rPr>
          <w:rFonts w:ascii="Times New Roman" w:hAnsi="Times New Roman" w:cs="Times New Roman"/>
          <w:bCs/>
          <w:sz w:val="20"/>
          <w:szCs w:val="20"/>
          <w:lang w:val="en-US"/>
        </w:rPr>
        <w:t>6</w:t>
      </w:r>
      <w:r w:rsidR="001710B0">
        <w:rPr>
          <w:rFonts w:ascii="Times New Roman" w:hAnsi="Times New Roman" w:cs="Times New Roman"/>
          <w:bCs/>
          <w:sz w:val="20"/>
          <w:szCs w:val="20"/>
          <w:lang w:val="en-US"/>
        </w:rPr>
        <w:t>1</w:t>
      </w:r>
      <w:r w:rsidR="00227DD3">
        <w:rPr>
          <w:rFonts w:ascii="Times New Roman" w:hAnsi="Times New Roman" w:cs="Times New Roman"/>
          <w:bCs/>
          <w:sz w:val="20"/>
          <w:szCs w:val="20"/>
          <w:lang w:val="en-US"/>
        </w:rPr>
        <w:t>]</w:t>
      </w:r>
    </w:p>
    <w:p w:rsidR="00AF0A5C" w:rsidRPr="00227DD3" w:rsidRDefault="00AF0A5C" w:rsidP="00227DD3">
      <w:pPr>
        <w:widowControl w:val="0"/>
        <w:autoSpaceDE w:val="0"/>
        <w:autoSpaceDN w:val="0"/>
        <w:adjustRightInd w:val="0"/>
        <w:spacing w:after="0" w:line="240" w:lineRule="auto"/>
        <w:ind w:left="284" w:right="135" w:hanging="142"/>
        <w:jc w:val="both"/>
        <w:rPr>
          <w:rFonts w:ascii="Times New Roman" w:hAnsi="Times New Roman" w:cs="Times New Roman"/>
          <w:bCs/>
          <w:sz w:val="10"/>
          <w:szCs w:val="10"/>
          <w:lang w:val="en-US"/>
        </w:rPr>
      </w:pPr>
    </w:p>
    <w:p w:rsidR="00AF0A5C"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distributed power up to 30 % of German electricity demand (one third by fuel cells) by 2015 i.e. </w:t>
      </w:r>
    </w:p>
    <w:p w:rsidR="00227DD3" w:rsidRPr="00227DD3" w:rsidRDefault="00227DD3" w:rsidP="00227DD3">
      <w:pPr>
        <w:widowControl w:val="0"/>
        <w:autoSpaceDE w:val="0"/>
        <w:autoSpaceDN w:val="0"/>
        <w:adjustRightInd w:val="0"/>
        <w:spacing w:after="0" w:line="240" w:lineRule="auto"/>
        <w:ind w:left="142" w:right="418"/>
        <w:jc w:val="both"/>
        <w:rPr>
          <w:rFonts w:ascii="Times New Roman" w:hAnsi="Times New Roman" w:cs="Times New Roman"/>
          <w:sz w:val="10"/>
          <w:szCs w:val="10"/>
          <w:lang w:val="en-US"/>
        </w:rPr>
      </w:pPr>
    </w:p>
    <w:p w:rsidR="00AF0A5C" w:rsidRPr="008F23CC" w:rsidRDefault="00AF0A5C" w:rsidP="00227DD3">
      <w:pPr>
        <w:pStyle w:val="a4"/>
        <w:widowControl w:val="0"/>
        <w:numPr>
          <w:ilvl w:val="0"/>
          <w:numId w:val="10"/>
        </w:numPr>
        <w:autoSpaceDE w:val="0"/>
        <w:autoSpaceDN w:val="0"/>
        <w:adjustRightInd w:val="0"/>
        <w:spacing w:after="0" w:line="240" w:lineRule="auto"/>
        <w:ind w:left="709" w:right="418"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a potential of 400,000 heating systems/a – 20 to 70 % fuel cells corresponding to 1 to 5 GWel</w:t>
      </w:r>
    </w:p>
    <w:p w:rsidR="00AF0A5C" w:rsidRPr="008F23CC" w:rsidRDefault="00AF0A5C" w:rsidP="00227DD3">
      <w:pPr>
        <w:pStyle w:val="a4"/>
        <w:widowControl w:val="0"/>
        <w:numPr>
          <w:ilvl w:val="0"/>
          <w:numId w:val="10"/>
        </w:numPr>
        <w:autoSpaceDE w:val="0"/>
        <w:autoSpaceDN w:val="0"/>
        <w:adjustRightInd w:val="0"/>
        <w:spacing w:after="0" w:line="240" w:lineRule="auto"/>
        <w:ind w:left="709" w:right="418"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for commercial applications 12 GWe (10 – 50  % possible fuel cell share)</w:t>
      </w:r>
    </w:p>
    <w:p w:rsidR="00AF0A5C" w:rsidRPr="008F23CC" w:rsidRDefault="00AF0A5C" w:rsidP="00227DD3">
      <w:pPr>
        <w:pStyle w:val="a4"/>
        <w:widowControl w:val="0"/>
        <w:numPr>
          <w:ilvl w:val="0"/>
          <w:numId w:val="10"/>
        </w:numPr>
        <w:autoSpaceDE w:val="0"/>
        <w:autoSpaceDN w:val="0"/>
        <w:adjustRightInd w:val="0"/>
        <w:spacing w:after="0" w:line="240" w:lineRule="auto"/>
        <w:ind w:left="709" w:right="418"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lastRenderedPageBreak/>
        <w:t>for industrial applications 30 GWe (10-50 % possible fuel cell share)</w:t>
      </w:r>
    </w:p>
    <w:p w:rsidR="00CE68D1" w:rsidRPr="00227DD3" w:rsidRDefault="00CE68D1" w:rsidP="00CE68D1">
      <w:pPr>
        <w:widowControl w:val="0"/>
        <w:autoSpaceDE w:val="0"/>
        <w:autoSpaceDN w:val="0"/>
        <w:adjustRightInd w:val="0"/>
        <w:spacing w:after="0" w:line="240" w:lineRule="auto"/>
        <w:ind w:left="709" w:right="985"/>
        <w:jc w:val="both"/>
        <w:rPr>
          <w:rFonts w:ascii="Times New Roman" w:hAnsi="Times New Roman" w:cs="Times New Roman"/>
          <w:sz w:val="10"/>
          <w:szCs w:val="10"/>
          <w:lang w:val="en-US"/>
        </w:rPr>
      </w:pPr>
    </w:p>
    <w:p w:rsidR="00AF0A5C" w:rsidRPr="00227DD3" w:rsidRDefault="00AF0A5C" w:rsidP="00580BCE">
      <w:pPr>
        <w:widowControl w:val="0"/>
        <w:autoSpaceDE w:val="0"/>
        <w:autoSpaceDN w:val="0"/>
        <w:adjustRightInd w:val="0"/>
        <w:spacing w:after="0" w:line="240" w:lineRule="auto"/>
        <w:ind w:left="284"/>
        <w:jc w:val="both"/>
        <w:rPr>
          <w:rFonts w:ascii="Times New Roman" w:hAnsi="Times New Roman" w:cs="Times New Roman"/>
          <w:bCs/>
          <w:sz w:val="20"/>
          <w:szCs w:val="20"/>
          <w:lang w:val="en-US"/>
        </w:rPr>
      </w:pPr>
      <w:r w:rsidRPr="008F23CC">
        <w:rPr>
          <w:rFonts w:ascii="Times New Roman" w:hAnsi="Times New Roman" w:cs="Times New Roman"/>
          <w:sz w:val="20"/>
          <w:szCs w:val="20"/>
          <w:lang w:val="en-US"/>
        </w:rPr>
        <w:t>corresponding to a total fuel cell potential of 3 to 15 GWel, in Germany</w:t>
      </w:r>
      <w:r w:rsidR="00227DD3">
        <w:rPr>
          <w:rFonts w:ascii="Times New Roman" w:hAnsi="Times New Roman" w:cs="Times New Roman"/>
          <w:sz w:val="20"/>
          <w:szCs w:val="20"/>
          <w:lang w:val="en-US"/>
        </w:rPr>
        <w:t xml:space="preserve"> </w:t>
      </w:r>
      <w:r w:rsidR="00227DD3">
        <w:rPr>
          <w:rFonts w:ascii="Times New Roman" w:hAnsi="Times New Roman" w:cs="Times New Roman"/>
          <w:bCs/>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2</w:t>
      </w:r>
      <w:r w:rsidR="00227DD3">
        <w:rPr>
          <w:rFonts w:ascii="Times New Roman" w:hAnsi="Times New Roman" w:cs="Times New Roman"/>
          <w:sz w:val="20"/>
          <w:szCs w:val="20"/>
          <w:lang w:val="en-US"/>
        </w:rPr>
        <w:t>]</w:t>
      </w:r>
    </w:p>
    <w:p w:rsidR="00AF0A5C" w:rsidRPr="00227DD3" w:rsidRDefault="00AF0A5C" w:rsidP="00CE68D1">
      <w:pPr>
        <w:widowControl w:val="0"/>
        <w:autoSpaceDE w:val="0"/>
        <w:autoSpaceDN w:val="0"/>
        <w:adjustRightInd w:val="0"/>
        <w:spacing w:after="0" w:line="240" w:lineRule="auto"/>
        <w:ind w:left="426" w:hanging="284"/>
        <w:jc w:val="both"/>
        <w:rPr>
          <w:rFonts w:ascii="Times New Roman" w:hAnsi="Times New Roman" w:cs="Times New Roman"/>
          <w:sz w:val="10"/>
          <w:szCs w:val="10"/>
          <w:lang w:val="en-US"/>
        </w:rPr>
      </w:pPr>
    </w:p>
    <w:p w:rsidR="00AF0A5C"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fuel cells up to 3 % of German electricity demand by 2010 and 3.0 – 7.8 GW</w:t>
      </w:r>
      <w:r w:rsidRPr="008F23CC">
        <w:rPr>
          <w:rFonts w:ascii="Times New Roman" w:hAnsi="Times New Roman" w:cs="Times New Roman"/>
          <w:sz w:val="20"/>
          <w:szCs w:val="20"/>
          <w:vertAlign w:val="subscript"/>
          <w:lang w:val="en-US"/>
        </w:rPr>
        <w:t>e</w:t>
      </w:r>
      <w:r w:rsidRPr="008F23CC">
        <w:rPr>
          <w:rFonts w:ascii="Times New Roman" w:hAnsi="Times New Roman" w:cs="Times New Roman"/>
          <w:sz w:val="20"/>
          <w:szCs w:val="20"/>
          <w:lang w:val="en-US"/>
        </w:rPr>
        <w:t xml:space="preserve"> by 2025</w:t>
      </w:r>
      <w:r w:rsidR="00227DD3">
        <w:rPr>
          <w:rFonts w:ascii="Times New Roman" w:hAnsi="Times New Roman" w:cs="Times New Roman"/>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3</w:t>
      </w:r>
      <w:r w:rsidR="00227DD3">
        <w:rPr>
          <w:rFonts w:ascii="Times New Roman" w:hAnsi="Times New Roman" w:cs="Times New Roman"/>
          <w:sz w:val="20"/>
          <w:szCs w:val="20"/>
          <w:lang w:val="en-US"/>
        </w:rPr>
        <w:t>]</w:t>
      </w:r>
    </w:p>
    <w:p w:rsidR="00AF0A5C" w:rsidRPr="00227DD3" w:rsidRDefault="00AF0A5C"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AF0A5C"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bCs/>
          <w:sz w:val="20"/>
          <w:szCs w:val="20"/>
          <w:lang w:val="en-US"/>
        </w:rPr>
      </w:pPr>
      <w:r w:rsidRPr="008F23CC">
        <w:rPr>
          <w:rFonts w:ascii="Times New Roman" w:hAnsi="Times New Roman" w:cs="Times New Roman"/>
          <w:sz w:val="20"/>
          <w:szCs w:val="20"/>
          <w:lang w:val="en-US"/>
        </w:rPr>
        <w:t>European MicroCHP up to 3.5 GW in 2010, corresponding to an increase in sales volume from 20 M€ in 2000  to 2 G€ in 2010 – (500,000 systems – 62 % share of fuel cells)</w:t>
      </w:r>
      <w:r w:rsidR="00227DD3">
        <w:rPr>
          <w:rFonts w:ascii="Times New Roman" w:hAnsi="Times New Roman" w:cs="Times New Roman"/>
          <w:sz w:val="20"/>
          <w:szCs w:val="20"/>
          <w:lang w:val="en-US"/>
        </w:rPr>
        <w:t xml:space="preserve"> [</w:t>
      </w:r>
      <w:r w:rsidR="00791172">
        <w:rPr>
          <w:rFonts w:ascii="Times New Roman" w:hAnsi="Times New Roman" w:cs="Times New Roman"/>
          <w:bCs/>
          <w:sz w:val="20"/>
          <w:szCs w:val="20"/>
          <w:lang w:val="en-US"/>
        </w:rPr>
        <w:t>6</w:t>
      </w:r>
      <w:r w:rsidR="00316BBD">
        <w:rPr>
          <w:rFonts w:ascii="Times New Roman" w:hAnsi="Times New Roman" w:cs="Times New Roman"/>
          <w:bCs/>
          <w:sz w:val="20"/>
          <w:szCs w:val="20"/>
          <w:lang w:val="en-US"/>
        </w:rPr>
        <w:t>4</w:t>
      </w:r>
      <w:r w:rsidR="00227DD3">
        <w:rPr>
          <w:rFonts w:ascii="Times New Roman" w:hAnsi="Times New Roman" w:cs="Times New Roman"/>
          <w:sz w:val="20"/>
          <w:szCs w:val="20"/>
          <w:lang w:val="en-US"/>
        </w:rPr>
        <w:t>]</w:t>
      </w:r>
    </w:p>
    <w:p w:rsidR="00AF0A5C" w:rsidRPr="00227DD3" w:rsidRDefault="00AF0A5C"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AF0A5C" w:rsidRPr="00227DD3" w:rsidRDefault="00AF0A5C"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European MicroCHP total sales up to or 3.2 G€ (400.000 systems/a) in 2011</w:t>
      </w:r>
      <w:r w:rsidR="00227DD3">
        <w:rPr>
          <w:rFonts w:ascii="Times New Roman" w:hAnsi="Times New Roman" w:cs="Times New Roman"/>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5</w:t>
      </w:r>
      <w:r w:rsidR="00227DD3">
        <w:rPr>
          <w:rFonts w:ascii="Times New Roman" w:hAnsi="Times New Roman" w:cs="Times New Roman"/>
          <w:sz w:val="20"/>
          <w:szCs w:val="20"/>
          <w:lang w:val="en-US"/>
        </w:rPr>
        <w:t>]</w:t>
      </w:r>
    </w:p>
    <w:p w:rsidR="00CE68D1" w:rsidRPr="00227DD3" w:rsidRDefault="00CE68D1"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AF0A5C" w:rsidRPr="00227DD3" w:rsidRDefault="00CE68D1"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110,000 domestic systems (mainly SOFC) by 2010 </w:t>
      </w:r>
      <w:r w:rsidR="00227DD3">
        <w:rPr>
          <w:rFonts w:ascii="Times New Roman" w:hAnsi="Times New Roman" w:cs="Times New Roman"/>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6</w:t>
      </w:r>
      <w:r w:rsidR="00227DD3">
        <w:rPr>
          <w:rFonts w:ascii="Times New Roman" w:hAnsi="Times New Roman" w:cs="Times New Roman"/>
          <w:sz w:val="20"/>
          <w:szCs w:val="20"/>
          <w:lang w:val="en-US"/>
        </w:rPr>
        <w:t>]</w:t>
      </w:r>
    </w:p>
    <w:p w:rsidR="00CE68D1" w:rsidRPr="00227DD3" w:rsidRDefault="00CE68D1"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CE68D1" w:rsidRPr="00227DD3" w:rsidRDefault="00CE68D1"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55,000 to 180,000 systems by 2010, and 1.75 to 5 million systems by 2025, in Germany (corresponding to 500.000 systems/a) </w:t>
      </w:r>
      <w:r w:rsidR="00227DD3">
        <w:rPr>
          <w:rFonts w:ascii="Times New Roman" w:hAnsi="Times New Roman" w:cs="Times New Roman"/>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7</w:t>
      </w:r>
      <w:r w:rsidR="00227DD3">
        <w:rPr>
          <w:rFonts w:ascii="Times New Roman" w:hAnsi="Times New Roman" w:cs="Times New Roman"/>
          <w:sz w:val="20"/>
          <w:szCs w:val="20"/>
          <w:lang w:val="en-US"/>
        </w:rPr>
        <w:t>]</w:t>
      </w:r>
      <w:r w:rsidRPr="00227DD3">
        <w:rPr>
          <w:rFonts w:ascii="Times New Roman" w:hAnsi="Times New Roman" w:cs="Times New Roman"/>
          <w:sz w:val="20"/>
          <w:szCs w:val="20"/>
          <w:lang w:val="en-US"/>
        </w:rPr>
        <w:t xml:space="preserve"> </w:t>
      </w:r>
    </w:p>
    <w:p w:rsidR="00CE68D1" w:rsidRPr="00227DD3" w:rsidRDefault="00CE68D1"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CE68D1" w:rsidRPr="00227DD3" w:rsidRDefault="00CE68D1"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230’000/a heating systems for new houses and 130’000/a for apartments by 2010 </w:t>
      </w:r>
      <w:r w:rsidR="00227DD3">
        <w:rPr>
          <w:rFonts w:ascii="Times New Roman" w:hAnsi="Times New Roman" w:cs="Times New Roman"/>
          <w:sz w:val="20"/>
          <w:szCs w:val="20"/>
          <w:lang w:val="en-US"/>
        </w:rPr>
        <w:t>[</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8</w:t>
      </w:r>
      <w:r w:rsidR="00791172">
        <w:rPr>
          <w:rFonts w:ascii="Times New Roman" w:hAnsi="Times New Roman" w:cs="Times New Roman"/>
          <w:sz w:val="20"/>
          <w:szCs w:val="20"/>
          <w:lang w:val="en-US"/>
        </w:rPr>
        <w:t>,6</w:t>
      </w:r>
      <w:r w:rsidR="00316BBD">
        <w:rPr>
          <w:rFonts w:ascii="Times New Roman" w:hAnsi="Times New Roman" w:cs="Times New Roman"/>
          <w:sz w:val="20"/>
          <w:szCs w:val="20"/>
          <w:lang w:val="en-US"/>
        </w:rPr>
        <w:t>9</w:t>
      </w:r>
      <w:r w:rsidR="00227DD3">
        <w:rPr>
          <w:rFonts w:ascii="Times New Roman" w:hAnsi="Times New Roman" w:cs="Times New Roman"/>
          <w:sz w:val="20"/>
          <w:szCs w:val="20"/>
          <w:lang w:val="en-US"/>
        </w:rPr>
        <w:t>]</w:t>
      </w:r>
    </w:p>
    <w:p w:rsidR="00CE68D1" w:rsidRPr="00227DD3" w:rsidRDefault="00CE68D1" w:rsidP="00227DD3">
      <w:pPr>
        <w:widowControl w:val="0"/>
        <w:autoSpaceDE w:val="0"/>
        <w:autoSpaceDN w:val="0"/>
        <w:adjustRightInd w:val="0"/>
        <w:spacing w:after="0" w:line="240" w:lineRule="auto"/>
        <w:ind w:left="284" w:right="135" w:hanging="142"/>
        <w:jc w:val="both"/>
        <w:rPr>
          <w:rFonts w:ascii="Times New Roman" w:hAnsi="Times New Roman" w:cs="Times New Roman"/>
          <w:sz w:val="10"/>
          <w:szCs w:val="10"/>
          <w:lang w:val="en-US"/>
        </w:rPr>
      </w:pPr>
    </w:p>
    <w:p w:rsidR="00CE68D1" w:rsidRPr="00227DD3" w:rsidRDefault="00CE68D1" w:rsidP="00227DD3">
      <w:pPr>
        <w:pStyle w:val="a4"/>
        <w:widowControl w:val="0"/>
        <w:numPr>
          <w:ilvl w:val="0"/>
          <w:numId w:val="10"/>
        </w:numPr>
        <w:autoSpaceDE w:val="0"/>
        <w:autoSpaceDN w:val="0"/>
        <w:adjustRightInd w:val="0"/>
        <w:spacing w:after="0" w:line="240" w:lineRule="auto"/>
        <w:ind w:left="284" w:right="135" w:hanging="142"/>
        <w:jc w:val="both"/>
        <w:rPr>
          <w:rFonts w:ascii="Times New Roman" w:hAnsi="Times New Roman" w:cs="Times New Roman"/>
          <w:sz w:val="20"/>
          <w:szCs w:val="20"/>
          <w:lang w:val="en-US"/>
        </w:rPr>
      </w:pPr>
      <w:r w:rsidRPr="008F23CC">
        <w:rPr>
          <w:rFonts w:ascii="Times New Roman" w:hAnsi="Times New Roman" w:cs="Times New Roman"/>
          <w:sz w:val="20"/>
          <w:szCs w:val="20"/>
          <w:lang w:val="en-US"/>
        </w:rPr>
        <w:t xml:space="preserve">100’000 fuel cell systems in Germany and 250’000 in Europe in 2010 </w:t>
      </w:r>
      <w:r w:rsidR="00227DD3">
        <w:rPr>
          <w:rFonts w:ascii="Times New Roman" w:hAnsi="Times New Roman" w:cs="Times New Roman"/>
          <w:sz w:val="20"/>
          <w:szCs w:val="20"/>
          <w:lang w:val="en-US"/>
        </w:rPr>
        <w:t>[</w:t>
      </w:r>
      <w:r w:rsidR="00316BBD">
        <w:rPr>
          <w:rFonts w:ascii="Times New Roman" w:hAnsi="Times New Roman" w:cs="Times New Roman"/>
          <w:sz w:val="20"/>
          <w:szCs w:val="20"/>
          <w:lang w:val="en-US"/>
        </w:rPr>
        <w:t>70</w:t>
      </w:r>
      <w:r w:rsidR="00227DD3">
        <w:rPr>
          <w:rFonts w:ascii="Times New Roman" w:hAnsi="Times New Roman" w:cs="Times New Roman"/>
          <w:sz w:val="20"/>
          <w:szCs w:val="20"/>
          <w:lang w:val="en-US"/>
        </w:rPr>
        <w:t>]</w:t>
      </w:r>
    </w:p>
    <w:p w:rsidR="0030357E" w:rsidRDefault="0030357E" w:rsidP="00227DD3">
      <w:pPr>
        <w:widowControl w:val="0"/>
        <w:autoSpaceDE w:val="0"/>
        <w:autoSpaceDN w:val="0"/>
        <w:adjustRightInd w:val="0"/>
        <w:spacing w:after="0" w:line="240" w:lineRule="auto"/>
        <w:jc w:val="both"/>
        <w:rPr>
          <w:rFonts w:ascii="Times New Roman" w:hAnsi="Times New Roman" w:cs="Times New Roman"/>
          <w:color w:val="000000"/>
          <w:sz w:val="16"/>
          <w:szCs w:val="16"/>
          <w:lang w:val="en-US"/>
        </w:rPr>
      </w:pPr>
    </w:p>
    <w:p w:rsidR="00551411" w:rsidRPr="008F23CC" w:rsidRDefault="00227DD3" w:rsidP="0030357E">
      <w:pPr>
        <w:widowControl w:val="0"/>
        <w:autoSpaceDE w:val="0"/>
        <w:autoSpaceDN w:val="0"/>
        <w:adjustRightInd w:val="0"/>
        <w:spacing w:after="0" w:line="240" w:lineRule="auto"/>
        <w:ind w:firstLine="426"/>
        <w:jc w:val="both"/>
        <w:rPr>
          <w:rFonts w:ascii="Times New Roman" w:hAnsi="Times New Roman" w:cs="Times New Roman"/>
          <w:sz w:val="20"/>
          <w:szCs w:val="20"/>
          <w:lang w:val="en-US"/>
        </w:rPr>
      </w:pPr>
      <w:r>
        <w:rPr>
          <w:rFonts w:ascii="Times New Roman" w:hAnsi="Times New Roman" w:cs="Times New Roman"/>
          <w:color w:val="000000"/>
          <w:sz w:val="20"/>
          <w:szCs w:val="20"/>
          <w:lang w:val="en-US"/>
        </w:rPr>
        <w:t xml:space="preserve">The </w:t>
      </w:r>
      <w:r w:rsidR="002470FD" w:rsidRPr="008F23CC">
        <w:rPr>
          <w:rFonts w:ascii="Times New Roman" w:hAnsi="Times New Roman" w:cs="Times New Roman"/>
          <w:color w:val="000000"/>
          <w:sz w:val="20"/>
          <w:szCs w:val="20"/>
          <w:lang w:val="en-US"/>
        </w:rPr>
        <w:t>afore</w:t>
      </w:r>
      <w:r>
        <w:rPr>
          <w:rFonts w:ascii="Times New Roman" w:hAnsi="Times New Roman" w:cs="Times New Roman"/>
          <w:color w:val="000000"/>
          <w:sz w:val="20"/>
          <w:szCs w:val="20"/>
          <w:lang w:val="en-US"/>
        </w:rPr>
        <w:t>mentioned</w:t>
      </w:r>
      <w:r w:rsidR="002470FD" w:rsidRPr="008F23CC">
        <w:rPr>
          <w:rFonts w:ascii="Times New Roman" w:hAnsi="Times New Roman" w:cs="Times New Roman"/>
          <w:color w:val="000000"/>
          <w:sz w:val="20"/>
          <w:szCs w:val="20"/>
          <w:lang w:val="en-US"/>
        </w:rPr>
        <w:t xml:space="preserve"> brief </w:t>
      </w:r>
      <w:r w:rsidR="00CE68D1" w:rsidRPr="008F23CC">
        <w:rPr>
          <w:rFonts w:ascii="Times New Roman" w:hAnsi="Times New Roman" w:cs="Times New Roman"/>
          <w:color w:val="000000"/>
          <w:sz w:val="20"/>
          <w:szCs w:val="20"/>
          <w:lang w:val="en-US"/>
        </w:rPr>
        <w:t>conclusions</w:t>
      </w:r>
      <w:r w:rsidR="004E23A1" w:rsidRPr="008F23CC">
        <w:rPr>
          <w:rFonts w:ascii="Times New Roman" w:hAnsi="Times New Roman" w:cs="Times New Roman"/>
          <w:color w:val="000000"/>
          <w:sz w:val="20"/>
          <w:szCs w:val="20"/>
          <w:lang w:val="en-US"/>
        </w:rPr>
        <w:t>,</w:t>
      </w:r>
      <w:r w:rsidR="002470FD" w:rsidRPr="008F23CC">
        <w:rPr>
          <w:rFonts w:ascii="Times New Roman" w:hAnsi="Times New Roman" w:cs="Times New Roman"/>
          <w:color w:val="000000"/>
          <w:sz w:val="20"/>
          <w:szCs w:val="20"/>
          <w:lang w:val="en-US"/>
        </w:rPr>
        <w:t xml:space="preserve"> reveal the </w:t>
      </w:r>
      <w:r w:rsidR="00C91F07" w:rsidRPr="008F23CC">
        <w:rPr>
          <w:rFonts w:ascii="Times New Roman" w:hAnsi="Times New Roman" w:cs="Times New Roman"/>
          <w:color w:val="000000"/>
          <w:sz w:val="20"/>
          <w:szCs w:val="20"/>
          <w:lang w:val="en-US"/>
        </w:rPr>
        <w:t>uncertainty with respect to</w:t>
      </w:r>
      <w:r w:rsidR="00D9209E" w:rsidRPr="008F23CC">
        <w:rPr>
          <w:rFonts w:ascii="Times New Roman" w:hAnsi="Times New Roman" w:cs="Times New Roman"/>
          <w:color w:val="000000"/>
          <w:sz w:val="20"/>
          <w:szCs w:val="20"/>
          <w:lang w:val="en-US"/>
        </w:rPr>
        <w:t xml:space="preserve"> </w:t>
      </w:r>
      <w:r w:rsidR="00C91F07" w:rsidRPr="008F23CC">
        <w:rPr>
          <w:rFonts w:ascii="Times New Roman" w:hAnsi="Times New Roman" w:cs="Times New Roman"/>
          <w:color w:val="000000"/>
          <w:sz w:val="20"/>
          <w:szCs w:val="20"/>
          <w:lang w:val="en-US"/>
        </w:rPr>
        <w:t>size and ti</w:t>
      </w:r>
      <w:r w:rsidR="002470FD" w:rsidRPr="008F23CC">
        <w:rPr>
          <w:rFonts w:ascii="Times New Roman" w:hAnsi="Times New Roman" w:cs="Times New Roman"/>
          <w:color w:val="000000"/>
          <w:sz w:val="20"/>
          <w:szCs w:val="20"/>
          <w:lang w:val="en-US"/>
        </w:rPr>
        <w:t>me scale of market introduction</w:t>
      </w:r>
      <w:r w:rsidR="004E23A1" w:rsidRPr="008F23CC">
        <w:rPr>
          <w:rFonts w:ascii="Times New Roman" w:hAnsi="Times New Roman" w:cs="Times New Roman"/>
          <w:color w:val="000000"/>
          <w:sz w:val="20"/>
          <w:szCs w:val="20"/>
          <w:lang w:val="en-US"/>
        </w:rPr>
        <w:t>. M</w:t>
      </w:r>
      <w:r w:rsidR="00C91F07" w:rsidRPr="008F23CC">
        <w:rPr>
          <w:rFonts w:ascii="Times New Roman" w:hAnsi="Times New Roman" w:cs="Times New Roman"/>
          <w:color w:val="000000"/>
          <w:sz w:val="20"/>
          <w:szCs w:val="20"/>
          <w:lang w:val="en-US"/>
        </w:rPr>
        <w:t xml:space="preserve">ost of these market forecasts, however, </w:t>
      </w:r>
      <w:r w:rsidR="002470FD" w:rsidRPr="008F23CC">
        <w:rPr>
          <w:rFonts w:ascii="Times New Roman" w:hAnsi="Times New Roman" w:cs="Times New Roman"/>
          <w:color w:val="000000"/>
          <w:sz w:val="20"/>
          <w:szCs w:val="20"/>
          <w:lang w:val="en-US"/>
        </w:rPr>
        <w:t xml:space="preserve">coincide to </w:t>
      </w:r>
      <w:r w:rsidR="00C91F07" w:rsidRPr="008F23CC">
        <w:rPr>
          <w:rFonts w:ascii="Times New Roman" w:hAnsi="Times New Roman" w:cs="Times New Roman"/>
          <w:color w:val="000000"/>
          <w:sz w:val="20"/>
          <w:szCs w:val="20"/>
          <w:lang w:val="en-US"/>
        </w:rPr>
        <w:t>a positive</w:t>
      </w:r>
      <w:r w:rsidR="00D9209E" w:rsidRPr="008F23CC">
        <w:rPr>
          <w:rFonts w:ascii="Times New Roman" w:hAnsi="Times New Roman" w:cs="Times New Roman"/>
          <w:color w:val="000000"/>
          <w:sz w:val="20"/>
          <w:szCs w:val="20"/>
          <w:lang w:val="en-US"/>
        </w:rPr>
        <w:t xml:space="preserve"> </w:t>
      </w:r>
      <w:r w:rsidR="00C91F07" w:rsidRPr="008F23CC">
        <w:rPr>
          <w:rFonts w:ascii="Times New Roman" w:hAnsi="Times New Roman" w:cs="Times New Roman"/>
          <w:color w:val="000000"/>
          <w:sz w:val="20"/>
          <w:szCs w:val="20"/>
          <w:lang w:val="en-US"/>
        </w:rPr>
        <w:t>market sentiment.</w:t>
      </w:r>
      <w:r>
        <w:rPr>
          <w:rFonts w:ascii="Times New Roman" w:hAnsi="Times New Roman" w:cs="Times New Roman"/>
          <w:color w:val="000000"/>
          <w:sz w:val="20"/>
          <w:szCs w:val="20"/>
          <w:lang w:val="en-US"/>
        </w:rPr>
        <w:t xml:space="preserve"> </w:t>
      </w:r>
      <w:r w:rsidR="00AA63FA" w:rsidRPr="008F23CC">
        <w:rPr>
          <w:rFonts w:ascii="Times New Roman" w:hAnsi="Times New Roman" w:cs="Times New Roman"/>
          <w:sz w:val="20"/>
          <w:szCs w:val="20"/>
          <w:lang w:val="en-US"/>
        </w:rPr>
        <w:t>Concluding, f</w:t>
      </w:r>
      <w:r w:rsidR="00D147AA" w:rsidRPr="008F23CC">
        <w:rPr>
          <w:rFonts w:ascii="Times New Roman" w:hAnsi="Times New Roman" w:cs="Times New Roman"/>
          <w:sz w:val="20"/>
          <w:szCs w:val="20"/>
          <w:lang w:val="en-US"/>
        </w:rPr>
        <w:t>or f</w:t>
      </w:r>
      <w:r w:rsidR="00551411" w:rsidRPr="008F23CC">
        <w:rPr>
          <w:rFonts w:ascii="Times New Roman" w:hAnsi="Times New Roman" w:cs="Times New Roman"/>
          <w:sz w:val="20"/>
          <w:szCs w:val="20"/>
          <w:lang w:val="en-US"/>
        </w:rPr>
        <w:t xml:space="preserve">uel cells </w:t>
      </w:r>
      <w:r w:rsidR="00AA63FA" w:rsidRPr="008F23CC">
        <w:rPr>
          <w:rFonts w:ascii="Times New Roman" w:hAnsi="Times New Roman" w:cs="Times New Roman"/>
          <w:sz w:val="20"/>
          <w:szCs w:val="20"/>
          <w:lang w:val="en-US"/>
        </w:rPr>
        <w:t xml:space="preserve">there is still considerable uncertainty with respect to size and time scale of the market entry </w:t>
      </w:r>
      <w:r w:rsidR="00D147AA" w:rsidRPr="008F23CC">
        <w:rPr>
          <w:rFonts w:ascii="Times New Roman" w:hAnsi="Times New Roman" w:cs="Times New Roman"/>
          <w:sz w:val="20"/>
          <w:szCs w:val="20"/>
          <w:lang w:val="en-US"/>
        </w:rPr>
        <w:t xml:space="preserve">(quite possibly too late to make a contribution to Kyoto commitments for 2012), </w:t>
      </w:r>
      <w:r w:rsidR="00AA63FA" w:rsidRPr="008F23CC">
        <w:rPr>
          <w:rFonts w:ascii="Times New Roman" w:hAnsi="Times New Roman" w:cs="Times New Roman"/>
          <w:sz w:val="20"/>
          <w:szCs w:val="20"/>
          <w:lang w:val="en-US"/>
        </w:rPr>
        <w:t xml:space="preserve">that may contribute to reluctance and postponing of investment. </w:t>
      </w:r>
      <w:r w:rsidR="00551411" w:rsidRPr="008F23CC">
        <w:rPr>
          <w:rFonts w:ascii="Times New Roman" w:hAnsi="Times New Roman" w:cs="Times New Roman"/>
          <w:sz w:val="20"/>
          <w:szCs w:val="20"/>
          <w:lang w:val="en-US"/>
        </w:rPr>
        <w:t xml:space="preserve">Stationary fuel cells </w:t>
      </w:r>
      <w:r w:rsidR="00D147AA" w:rsidRPr="008F23CC">
        <w:rPr>
          <w:rFonts w:ascii="Times New Roman" w:hAnsi="Times New Roman" w:cs="Times New Roman"/>
          <w:sz w:val="20"/>
          <w:szCs w:val="20"/>
          <w:lang w:val="en-US"/>
        </w:rPr>
        <w:t>may possibly</w:t>
      </w:r>
      <w:r w:rsidR="00551411" w:rsidRPr="008F23CC">
        <w:rPr>
          <w:rFonts w:ascii="Times New Roman" w:hAnsi="Times New Roman" w:cs="Times New Roman"/>
          <w:sz w:val="20"/>
          <w:szCs w:val="20"/>
          <w:lang w:val="en-US"/>
        </w:rPr>
        <w:t xml:space="preserve"> shift the power range of electricity production to</w:t>
      </w:r>
      <w:r w:rsidR="00AA63FA" w:rsidRPr="008F23CC">
        <w:rPr>
          <w:rFonts w:ascii="Times New Roman" w:hAnsi="Times New Roman" w:cs="Times New Roman"/>
          <w:sz w:val="20"/>
          <w:szCs w:val="20"/>
          <w:lang w:val="en-US"/>
        </w:rPr>
        <w:t xml:space="preserve"> </w:t>
      </w:r>
      <w:r w:rsidR="00D147AA" w:rsidRPr="008F23CC">
        <w:rPr>
          <w:rFonts w:ascii="Times New Roman" w:hAnsi="Times New Roman" w:cs="Times New Roman"/>
          <w:sz w:val="20"/>
          <w:szCs w:val="20"/>
          <w:lang w:val="en-US"/>
        </w:rPr>
        <w:t>smaller capacities, as</w:t>
      </w:r>
      <w:r w:rsidR="00551411" w:rsidRPr="008F23CC">
        <w:rPr>
          <w:rFonts w:ascii="Times New Roman" w:hAnsi="Times New Roman" w:cs="Times New Roman"/>
          <w:sz w:val="20"/>
          <w:szCs w:val="20"/>
          <w:lang w:val="en-US"/>
        </w:rPr>
        <w:t xml:space="preserve"> they achieve electrical efficiencies similar to combined</w:t>
      </w:r>
      <w:r w:rsidR="00D147A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cy</w:t>
      </w:r>
      <w:r w:rsidR="00AA63FA" w:rsidRPr="008F23CC">
        <w:rPr>
          <w:rFonts w:ascii="Times New Roman" w:hAnsi="Times New Roman" w:cs="Times New Roman"/>
          <w:sz w:val="20"/>
          <w:szCs w:val="20"/>
          <w:lang w:val="en-US"/>
        </w:rPr>
        <w:t xml:space="preserve">cle plants at much smaller size, and </w:t>
      </w:r>
      <w:r w:rsidR="00D147AA" w:rsidRPr="008F23CC">
        <w:rPr>
          <w:rFonts w:ascii="Times New Roman" w:hAnsi="Times New Roman" w:cs="Times New Roman"/>
          <w:sz w:val="20"/>
          <w:szCs w:val="20"/>
          <w:lang w:val="en-US"/>
        </w:rPr>
        <w:t>t</w:t>
      </w:r>
      <w:r w:rsidR="00551411" w:rsidRPr="008F23CC">
        <w:rPr>
          <w:rFonts w:ascii="Times New Roman" w:hAnsi="Times New Roman" w:cs="Times New Roman"/>
          <w:sz w:val="20"/>
          <w:szCs w:val="20"/>
          <w:lang w:val="en-US"/>
        </w:rPr>
        <w:t>his might open new markets.</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 xml:space="preserve">As fuel cells have to succeed </w:t>
      </w:r>
      <w:r w:rsidR="00D147AA" w:rsidRPr="008F23CC">
        <w:rPr>
          <w:rFonts w:ascii="Times New Roman" w:hAnsi="Times New Roman" w:cs="Times New Roman"/>
          <w:sz w:val="20"/>
          <w:szCs w:val="20"/>
          <w:lang w:val="en-US"/>
        </w:rPr>
        <w:t>entering</w:t>
      </w:r>
      <w:r w:rsidR="00551411" w:rsidRPr="008F23CC">
        <w:rPr>
          <w:rFonts w:ascii="Times New Roman" w:hAnsi="Times New Roman" w:cs="Times New Roman"/>
          <w:sz w:val="20"/>
          <w:szCs w:val="20"/>
          <w:lang w:val="en-US"/>
        </w:rPr>
        <w:t xml:space="preserve"> a functioning and fully developed market,</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cost is seen as the major market entry barrier. Today, stationary fuel cells</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are 2.5 to 20</w:t>
      </w:r>
      <w:r w:rsidR="00D2481E">
        <w:rPr>
          <w:rFonts w:ascii="Times New Roman" w:hAnsi="Times New Roman" w:cs="Times New Roman"/>
          <w:sz w:val="20"/>
          <w:szCs w:val="20"/>
          <w:lang w:val="en-US"/>
        </w:rPr>
        <w:t xml:space="preserve"> times</w:t>
      </w:r>
      <w:r w:rsidR="00551411" w:rsidRPr="008F23CC">
        <w:rPr>
          <w:rFonts w:ascii="Times New Roman" w:hAnsi="Times New Roman" w:cs="Times New Roman"/>
          <w:sz w:val="20"/>
          <w:szCs w:val="20"/>
          <w:lang w:val="en-US"/>
        </w:rPr>
        <w:t xml:space="preserve"> too expensive, with the balance of plant being responsible for a large share of total capital cost.</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Allowable capital costs in stationary appl</w:t>
      </w:r>
      <w:r w:rsidR="00D147AA" w:rsidRPr="008F23CC">
        <w:rPr>
          <w:rFonts w:ascii="Times New Roman" w:hAnsi="Times New Roman" w:cs="Times New Roman"/>
          <w:sz w:val="20"/>
          <w:szCs w:val="20"/>
          <w:lang w:val="en-US"/>
        </w:rPr>
        <w:t>ications vary between 800 €/kW</w:t>
      </w:r>
      <w:r w:rsidR="00D147AA" w:rsidRPr="008F23CC">
        <w:rPr>
          <w:rFonts w:ascii="Times New Roman" w:hAnsi="Times New Roman" w:cs="Times New Roman"/>
          <w:sz w:val="20"/>
          <w:szCs w:val="20"/>
          <w:vertAlign w:val="subscript"/>
          <w:lang w:val="en-US"/>
        </w:rPr>
        <w:t>e</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 xml:space="preserve">and – </w:t>
      </w:r>
      <w:r w:rsidR="00D147AA" w:rsidRPr="008F23CC">
        <w:rPr>
          <w:rFonts w:ascii="Times New Roman" w:hAnsi="Times New Roman" w:cs="Times New Roman"/>
          <w:sz w:val="20"/>
          <w:szCs w:val="20"/>
          <w:lang w:val="en-US"/>
        </w:rPr>
        <w:t>above 2000 €/kW</w:t>
      </w:r>
      <w:r w:rsidR="00D147AA" w:rsidRPr="008F23CC">
        <w:rPr>
          <w:rFonts w:ascii="Times New Roman" w:hAnsi="Times New Roman" w:cs="Times New Roman"/>
          <w:sz w:val="20"/>
          <w:szCs w:val="20"/>
          <w:vertAlign w:val="subscript"/>
          <w:lang w:val="en-US"/>
        </w:rPr>
        <w:t>e</w:t>
      </w:r>
      <w:r w:rsidR="00D147A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in some niche applications – with future electricity</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costs and the share of own consumption in total electricity production</w:t>
      </w:r>
      <w:r w:rsidR="00D147AA" w:rsidRPr="008F23CC">
        <w:rPr>
          <w:rFonts w:ascii="Times New Roman" w:hAnsi="Times New Roman" w:cs="Times New Roman"/>
          <w:sz w:val="20"/>
          <w:szCs w:val="20"/>
          <w:lang w:val="en-US"/>
        </w:rPr>
        <w:t>,</w:t>
      </w:r>
      <w:r w:rsidR="00551411" w:rsidRPr="008F23CC">
        <w:rPr>
          <w:rFonts w:ascii="Times New Roman" w:hAnsi="Times New Roman" w:cs="Times New Roman"/>
          <w:sz w:val="20"/>
          <w:szCs w:val="20"/>
          <w:lang w:val="en-US"/>
        </w:rPr>
        <w:t xml:space="preserve"> being</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important parameters.</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 xml:space="preserve">The timing of fuel cell market entry, beside the cost, </w:t>
      </w:r>
      <w:r w:rsidR="00AA63FA" w:rsidRPr="008F23CC">
        <w:rPr>
          <w:rFonts w:ascii="Times New Roman" w:hAnsi="Times New Roman" w:cs="Times New Roman"/>
          <w:sz w:val="20"/>
          <w:szCs w:val="20"/>
          <w:lang w:val="en-US"/>
        </w:rPr>
        <w:t>is</w:t>
      </w:r>
      <w:r w:rsidR="00551411" w:rsidRPr="008F23CC">
        <w:rPr>
          <w:rFonts w:ascii="Times New Roman" w:hAnsi="Times New Roman" w:cs="Times New Roman"/>
          <w:sz w:val="20"/>
          <w:szCs w:val="20"/>
          <w:lang w:val="en-US"/>
        </w:rPr>
        <w:t xml:space="preserve"> determined by</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technical challenges that include reaching performance targets, increasing</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longevity, enhancing reliability of balance of plant, and adapting balance of</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plant components, e.g. gas reformers and micro turbines, to fuel cell</w:t>
      </w:r>
      <w:r w:rsidR="00AA63FA" w:rsidRPr="008F23CC">
        <w:rPr>
          <w:rFonts w:ascii="Times New Roman" w:hAnsi="Times New Roman" w:cs="Times New Roman"/>
          <w:sz w:val="20"/>
          <w:szCs w:val="20"/>
          <w:lang w:val="en-US"/>
        </w:rPr>
        <w:t xml:space="preserve"> </w:t>
      </w:r>
      <w:r w:rsidR="00551411" w:rsidRPr="008F23CC">
        <w:rPr>
          <w:rFonts w:ascii="Times New Roman" w:hAnsi="Times New Roman" w:cs="Times New Roman"/>
          <w:sz w:val="20"/>
          <w:szCs w:val="20"/>
          <w:lang w:val="en-US"/>
        </w:rPr>
        <w:t>systems</w:t>
      </w:r>
      <w:r w:rsidR="00AA63FA" w:rsidRPr="008F23CC">
        <w:rPr>
          <w:rFonts w:ascii="Times New Roman" w:hAnsi="Times New Roman" w:cs="Times New Roman"/>
          <w:sz w:val="20"/>
          <w:szCs w:val="20"/>
          <w:lang w:val="en-US"/>
        </w:rPr>
        <w:t xml:space="preserve"> [</w:t>
      </w:r>
      <w:r w:rsidR="003B124A">
        <w:rPr>
          <w:rFonts w:ascii="Times New Roman" w:hAnsi="Times New Roman" w:cs="Times New Roman"/>
          <w:sz w:val="20"/>
          <w:szCs w:val="20"/>
          <w:lang w:val="en-US"/>
        </w:rPr>
        <w:t>3</w:t>
      </w:r>
      <w:r w:rsidR="00AA63FA" w:rsidRPr="008F23CC">
        <w:rPr>
          <w:rFonts w:ascii="Times New Roman" w:hAnsi="Times New Roman" w:cs="Times New Roman"/>
          <w:sz w:val="20"/>
          <w:szCs w:val="20"/>
          <w:lang w:val="en-US"/>
        </w:rPr>
        <w:t>]</w:t>
      </w:r>
      <w:r w:rsidR="00551411" w:rsidRPr="008F23CC">
        <w:rPr>
          <w:rFonts w:ascii="Times New Roman" w:hAnsi="Times New Roman" w:cs="Times New Roman"/>
          <w:sz w:val="20"/>
          <w:szCs w:val="20"/>
          <w:lang w:val="en-US"/>
        </w:rPr>
        <w:t>.</w:t>
      </w:r>
    </w:p>
    <w:p w:rsidR="00997515" w:rsidRPr="008F23CC" w:rsidRDefault="00997515"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997515" w:rsidRPr="008F23CC" w:rsidRDefault="00997515" w:rsidP="003066A0">
      <w:pPr>
        <w:widowControl w:val="0"/>
        <w:autoSpaceDE w:val="0"/>
        <w:autoSpaceDN w:val="0"/>
        <w:adjustRightInd w:val="0"/>
        <w:spacing w:after="0" w:line="240" w:lineRule="auto"/>
        <w:rPr>
          <w:rFonts w:ascii="Times New Roman" w:hAnsi="Times New Roman" w:cs="Times New Roman"/>
          <w:sz w:val="20"/>
          <w:szCs w:val="20"/>
          <w:lang w:val="en-US"/>
        </w:rPr>
      </w:pPr>
    </w:p>
    <w:p w:rsidR="005A66F9" w:rsidRPr="00B76092" w:rsidRDefault="00B76092" w:rsidP="003066A0">
      <w:pPr>
        <w:widowControl w:val="0"/>
        <w:autoSpaceDE w:val="0"/>
        <w:autoSpaceDN w:val="0"/>
        <w:adjustRightInd w:val="0"/>
        <w:spacing w:after="0" w:line="240" w:lineRule="auto"/>
        <w:rPr>
          <w:rFonts w:ascii="Times New Roman" w:hAnsi="Times New Roman" w:cs="Times New Roman"/>
          <w:b/>
          <w:sz w:val="24"/>
          <w:szCs w:val="24"/>
          <w:lang w:val="en-US"/>
        </w:rPr>
      </w:pPr>
      <w:r w:rsidRPr="00B76092">
        <w:rPr>
          <w:rFonts w:ascii="Times New Roman" w:hAnsi="Times New Roman" w:cs="Times New Roman"/>
          <w:b/>
          <w:sz w:val="24"/>
          <w:szCs w:val="24"/>
          <w:lang w:val="en-US"/>
        </w:rPr>
        <w:t>5</w:t>
      </w:r>
      <w:r w:rsidR="003E298D">
        <w:rPr>
          <w:rFonts w:ascii="Times New Roman" w:hAnsi="Times New Roman" w:cs="Times New Roman"/>
          <w:b/>
          <w:sz w:val="24"/>
          <w:szCs w:val="24"/>
          <w:lang w:val="en-US"/>
        </w:rPr>
        <w:t xml:space="preserve">. </w:t>
      </w:r>
      <w:r w:rsidRPr="00B76092">
        <w:rPr>
          <w:rFonts w:ascii="Times New Roman" w:hAnsi="Times New Roman" w:cs="Times New Roman"/>
          <w:b/>
          <w:sz w:val="24"/>
          <w:szCs w:val="24"/>
          <w:lang w:val="en-US"/>
        </w:rPr>
        <w:t>References</w:t>
      </w:r>
    </w:p>
    <w:tbl>
      <w:tblPr>
        <w:tblStyle w:val="a3"/>
        <w:tblW w:w="9923" w:type="dxa"/>
        <w:tblInd w:w="-601" w:type="dxa"/>
        <w:tblLayout w:type="fixed"/>
        <w:tblLook w:val="04A0"/>
      </w:tblPr>
      <w:tblGrid>
        <w:gridCol w:w="709"/>
        <w:gridCol w:w="709"/>
        <w:gridCol w:w="8505"/>
      </w:tblGrid>
      <w:tr w:rsidR="00580BCE" w:rsidRPr="00E872C6"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w:t>
            </w:r>
          </w:p>
        </w:tc>
        <w:tc>
          <w:tcPr>
            <w:tcW w:w="8505" w:type="dxa"/>
          </w:tcPr>
          <w:p w:rsidR="00580BCE" w:rsidRPr="00A762A6" w:rsidRDefault="00580BCE" w:rsidP="00E872C6">
            <w:pPr>
              <w:autoSpaceDE w:val="0"/>
              <w:autoSpaceDN w:val="0"/>
              <w:adjustRightInd w:val="0"/>
              <w:rPr>
                <w:rFonts w:ascii="Times New Roman" w:hAnsi="Times New Roman" w:cs="Times New Roman"/>
                <w:sz w:val="20"/>
                <w:szCs w:val="20"/>
                <w:lang w:val="en-US"/>
              </w:rPr>
            </w:pPr>
            <w:r w:rsidRPr="00A762A6">
              <w:rPr>
                <w:rFonts w:ascii="Times New Roman" w:hAnsi="Times New Roman" w:cs="Times New Roman"/>
                <w:bCs/>
                <w:sz w:val="20"/>
                <w:szCs w:val="20"/>
                <w:lang w:val="en-US"/>
              </w:rPr>
              <w:t>U.S. D</w:t>
            </w:r>
            <w:r w:rsidR="00E872C6">
              <w:rPr>
                <w:rFonts w:ascii="Times New Roman" w:hAnsi="Times New Roman" w:cs="Times New Roman"/>
                <w:bCs/>
                <w:sz w:val="20"/>
                <w:szCs w:val="20"/>
                <w:lang w:val="en-US"/>
              </w:rPr>
              <w:t>OE</w:t>
            </w:r>
            <w:r w:rsidRPr="00A762A6">
              <w:rPr>
                <w:rFonts w:ascii="Times New Roman" w:hAnsi="Times New Roman" w:cs="Times New Roman"/>
                <w:bCs/>
                <w:sz w:val="20"/>
                <w:szCs w:val="20"/>
                <w:lang w:val="en-US"/>
              </w:rPr>
              <w:t>, (2002). Fuel Cell Handbook</w:t>
            </w:r>
            <w:r>
              <w:rPr>
                <w:rFonts w:ascii="Times New Roman" w:hAnsi="Times New Roman" w:cs="Times New Roman"/>
                <w:bCs/>
                <w:sz w:val="20"/>
                <w:szCs w:val="20"/>
                <w:lang w:val="en-US"/>
              </w:rPr>
              <w:t xml:space="preserve"> </w:t>
            </w:r>
            <w:r w:rsidRPr="00A762A6">
              <w:rPr>
                <w:rFonts w:ascii="Times New Roman" w:hAnsi="Times New Roman" w:cs="Times New Roman"/>
                <w:bCs/>
                <w:sz w:val="20"/>
                <w:szCs w:val="20"/>
                <w:lang w:val="en-US"/>
              </w:rPr>
              <w:t>(Sixth Edition). EG&amp;G Technical Services, Inc.</w:t>
            </w:r>
            <w:r>
              <w:rPr>
                <w:rFonts w:ascii="Times New Roman" w:hAnsi="Times New Roman" w:cs="Times New Roman"/>
                <w:bCs/>
                <w:sz w:val="20"/>
                <w:szCs w:val="20"/>
                <w:lang w:val="en-US"/>
              </w:rPr>
              <w:t xml:space="preserve"> </w:t>
            </w:r>
            <w:r w:rsidRPr="00A762A6">
              <w:rPr>
                <w:rFonts w:ascii="Times New Roman" w:hAnsi="Times New Roman" w:cs="Times New Roman"/>
                <w:bCs/>
                <w:sz w:val="20"/>
                <w:szCs w:val="20"/>
                <w:lang w:val="en-US"/>
              </w:rPr>
              <w:t>Science Applications International Corporation. DOE/NETL-2002/1179</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w:t>
            </w:r>
          </w:p>
        </w:tc>
        <w:tc>
          <w:tcPr>
            <w:tcW w:w="8505" w:type="dxa"/>
          </w:tcPr>
          <w:p w:rsidR="00580BCE" w:rsidRPr="001E3A30" w:rsidRDefault="00E872C6" w:rsidP="00E872C6">
            <w:pPr>
              <w:autoSpaceDE w:val="0"/>
              <w:autoSpaceDN w:val="0"/>
              <w:adjustRightInd w:val="0"/>
              <w:rPr>
                <w:rFonts w:ascii="Times New Roman" w:hAnsi="Times New Roman" w:cs="Times New Roman"/>
                <w:color w:val="000000" w:themeColor="text1"/>
                <w:sz w:val="20"/>
                <w:szCs w:val="20"/>
                <w:lang w:val="en-US"/>
              </w:rPr>
            </w:pPr>
            <w:r>
              <w:rPr>
                <w:rFonts w:ascii="Times New Roman" w:hAnsi="Times New Roman" w:cs="Times New Roman"/>
                <w:bCs/>
                <w:color w:val="000000" w:themeColor="text1"/>
                <w:sz w:val="20"/>
                <w:szCs w:val="20"/>
                <w:lang w:val="en-US"/>
              </w:rPr>
              <w:t>IEA</w:t>
            </w:r>
            <w:r w:rsidR="00580BCE" w:rsidRPr="001E3A30">
              <w:rPr>
                <w:rFonts w:ascii="Times New Roman" w:hAnsi="Times New Roman" w:cs="Times New Roman"/>
                <w:bCs/>
                <w:color w:val="000000" w:themeColor="text1"/>
                <w:sz w:val="20"/>
                <w:szCs w:val="20"/>
                <w:lang w:val="en-US"/>
              </w:rPr>
              <w:t xml:space="preserve">, </w:t>
            </w:r>
            <w:r w:rsidR="00580BCE">
              <w:rPr>
                <w:rFonts w:ascii="Times New Roman" w:hAnsi="Times New Roman" w:cs="Times New Roman"/>
                <w:bCs/>
                <w:color w:val="000000" w:themeColor="text1"/>
                <w:sz w:val="20"/>
                <w:szCs w:val="20"/>
                <w:lang w:val="en-US"/>
              </w:rPr>
              <w:t>(</w:t>
            </w:r>
            <w:r w:rsidR="00580BCE" w:rsidRPr="001E3A30">
              <w:rPr>
                <w:rFonts w:ascii="Times New Roman" w:hAnsi="Times New Roman" w:cs="Times New Roman"/>
                <w:bCs/>
                <w:color w:val="000000" w:themeColor="text1"/>
                <w:sz w:val="20"/>
                <w:szCs w:val="20"/>
                <w:lang w:val="en-US"/>
              </w:rPr>
              <w:t>2005</w:t>
            </w:r>
            <w:r w:rsidR="00580BCE">
              <w:rPr>
                <w:rFonts w:ascii="Times New Roman" w:hAnsi="Times New Roman" w:cs="Times New Roman"/>
                <w:bCs/>
                <w:color w:val="000000" w:themeColor="text1"/>
                <w:sz w:val="20"/>
                <w:szCs w:val="20"/>
                <w:lang w:val="en-US"/>
              </w:rPr>
              <w:t xml:space="preserve">). </w:t>
            </w:r>
            <w:r w:rsidR="00580BCE" w:rsidRPr="001E3A30">
              <w:rPr>
                <w:rFonts w:ascii="Times New Roman" w:hAnsi="Times New Roman" w:cs="Times New Roman"/>
                <w:bCs/>
                <w:color w:val="000000" w:themeColor="text1"/>
                <w:sz w:val="20"/>
                <w:szCs w:val="20"/>
                <w:lang w:val="en-US"/>
              </w:rPr>
              <w:t>Prospects for hydrogen and fuel cells</w:t>
            </w:r>
            <w:r w:rsidR="00580BCE">
              <w:rPr>
                <w:rFonts w:ascii="Times New Roman" w:hAnsi="Times New Roman" w:cs="Times New Roman"/>
                <w:bCs/>
                <w:color w:val="000000" w:themeColor="text1"/>
                <w:sz w:val="20"/>
                <w:szCs w:val="20"/>
                <w:lang w:val="en-US"/>
              </w:rPr>
              <w:t xml:space="preserve">. </w:t>
            </w:r>
            <w:r w:rsidR="00580BCE" w:rsidRPr="001E3A30">
              <w:rPr>
                <w:rFonts w:ascii="Times New Roman" w:hAnsi="Times New Roman" w:cs="Times New Roman"/>
                <w:bCs/>
                <w:color w:val="000000" w:themeColor="text1"/>
                <w:sz w:val="20"/>
                <w:szCs w:val="20"/>
                <w:lang w:val="en-US"/>
              </w:rPr>
              <w:t xml:space="preserve"> IEA Publications</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bCs/>
                <w:color w:val="000000" w:themeColor="text1"/>
                <w:sz w:val="20"/>
                <w:szCs w:val="20"/>
                <w:lang w:val="en-US"/>
              </w:rPr>
              <w:t>Pehnt M</w:t>
            </w:r>
            <w:r>
              <w:rPr>
                <w:rFonts w:ascii="Times New Roman" w:hAnsi="Times New Roman" w:cs="Times New Roman"/>
                <w:bCs/>
                <w:color w:val="000000" w:themeColor="text1"/>
                <w:sz w:val="20"/>
                <w:szCs w:val="20"/>
                <w:lang w:val="en-US"/>
              </w:rPr>
              <w:t>,</w:t>
            </w:r>
            <w:r w:rsidRPr="001E3A30">
              <w:rPr>
                <w:rFonts w:ascii="Times New Roman" w:hAnsi="Times New Roman" w:cs="Times New Roman"/>
                <w:bCs/>
                <w:color w:val="000000" w:themeColor="text1"/>
                <w:sz w:val="20"/>
                <w:szCs w:val="20"/>
                <w:lang w:val="en-US"/>
              </w:rPr>
              <w:t xml:space="preserve"> Ramesohl S</w:t>
            </w:r>
            <w:r>
              <w:rPr>
                <w:rFonts w:ascii="Times New Roman" w:hAnsi="Times New Roman" w:cs="Times New Roman"/>
                <w:bCs/>
                <w:color w:val="000000" w:themeColor="text1"/>
                <w:sz w:val="20"/>
                <w:szCs w:val="20"/>
                <w:lang w:val="en-US"/>
              </w:rPr>
              <w:t>,</w:t>
            </w:r>
            <w:r w:rsidRPr="001E3A30">
              <w:rPr>
                <w:rFonts w:ascii="Times New Roman" w:hAnsi="Times New Roman" w:cs="Times New Roman"/>
                <w:bCs/>
                <w:color w:val="000000" w:themeColor="text1"/>
                <w:sz w:val="20"/>
                <w:szCs w:val="20"/>
                <w:lang w:val="en-US"/>
              </w:rPr>
              <w:t xml:space="preserve"> </w:t>
            </w:r>
            <w:r>
              <w:rPr>
                <w:rFonts w:ascii="Times New Roman" w:hAnsi="Times New Roman" w:cs="Times New Roman"/>
                <w:bCs/>
                <w:color w:val="000000" w:themeColor="text1"/>
                <w:sz w:val="20"/>
                <w:szCs w:val="20"/>
                <w:lang w:val="en-US"/>
              </w:rPr>
              <w:t>(2</w:t>
            </w:r>
            <w:r w:rsidR="00E872C6">
              <w:rPr>
                <w:rFonts w:ascii="Times New Roman" w:hAnsi="Times New Roman" w:cs="Times New Roman"/>
                <w:bCs/>
                <w:color w:val="000000" w:themeColor="text1"/>
                <w:sz w:val="20"/>
                <w:szCs w:val="20"/>
                <w:lang w:val="en-US"/>
              </w:rPr>
              <w:t>004</w:t>
            </w:r>
            <w:r>
              <w:rPr>
                <w:rFonts w:ascii="Times New Roman" w:hAnsi="Times New Roman" w:cs="Times New Roman"/>
                <w:bCs/>
                <w:color w:val="000000" w:themeColor="text1"/>
                <w:sz w:val="20"/>
                <w:szCs w:val="20"/>
                <w:lang w:val="en-US"/>
              </w:rPr>
              <w:t xml:space="preserve">). </w:t>
            </w:r>
            <w:r w:rsidRPr="001E3A30">
              <w:rPr>
                <w:rFonts w:ascii="Times New Roman" w:hAnsi="Times New Roman" w:cs="Times New Roman"/>
                <w:bCs/>
                <w:color w:val="000000" w:themeColor="text1"/>
                <w:sz w:val="20"/>
                <w:szCs w:val="20"/>
                <w:lang w:val="en-US"/>
              </w:rPr>
              <w:t>Fuel cells for distributed power:</w:t>
            </w:r>
            <w:r>
              <w:rPr>
                <w:rFonts w:ascii="Times New Roman" w:hAnsi="Times New Roman" w:cs="Times New Roman"/>
                <w:bCs/>
                <w:color w:val="000000" w:themeColor="text1"/>
                <w:sz w:val="20"/>
                <w:szCs w:val="20"/>
                <w:lang w:val="en-US"/>
              </w:rPr>
              <w:t xml:space="preserve"> </w:t>
            </w:r>
            <w:r w:rsidRPr="001E3A30">
              <w:rPr>
                <w:rFonts w:ascii="Times New Roman" w:hAnsi="Times New Roman" w:cs="Times New Roman"/>
                <w:bCs/>
                <w:color w:val="000000" w:themeColor="text1"/>
                <w:sz w:val="20"/>
                <w:szCs w:val="20"/>
                <w:lang w:val="en-US"/>
              </w:rPr>
              <w:t>benefits, barriers and perspectives</w:t>
            </w:r>
            <w:r w:rsidRPr="001E3A30">
              <w:rPr>
                <w:rFonts w:ascii="Times New Roman" w:hAnsi="Times New Roman" w:cs="Times New Roman"/>
                <w:color w:val="000000" w:themeColor="text1"/>
                <w:sz w:val="20"/>
                <w:szCs w:val="20"/>
                <w:lang w:val="en-US"/>
              </w:rPr>
              <w:t xml:space="preserve">” </w:t>
            </w:r>
            <w:r w:rsidR="00E872C6">
              <w:rPr>
                <w:rFonts w:ascii="Times New Roman" w:hAnsi="Times New Roman" w:cs="Times New Roman"/>
                <w:color w:val="000000" w:themeColor="text1"/>
                <w:sz w:val="20"/>
                <w:szCs w:val="20"/>
                <w:lang w:val="en-US"/>
              </w:rPr>
              <w:t xml:space="preserve">An Activity of World Fuel Cell Council, </w:t>
            </w:r>
            <w:r w:rsidR="00E872C6" w:rsidRPr="00E872C6">
              <w:rPr>
                <w:rFonts w:ascii="Times New Roman" w:hAnsi="Times New Roman" w:cs="Times New Roman"/>
                <w:color w:val="000000" w:themeColor="text1"/>
                <w:sz w:val="20"/>
                <w:szCs w:val="20"/>
                <w:lang w:val="en-US"/>
              </w:rPr>
              <w:t>http://assets.panda.org/downloads/stationaryfuelcellsreport.pdf</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Wilkinson </w:t>
            </w:r>
            <w:r>
              <w:rPr>
                <w:rFonts w:ascii="Times New Roman" w:hAnsi="Times New Roman" w:cs="Times New Roman"/>
                <w:color w:val="000000" w:themeColor="text1"/>
                <w:sz w:val="20"/>
                <w:szCs w:val="20"/>
                <w:lang w:val="en-US"/>
              </w:rPr>
              <w:t>D</w:t>
            </w:r>
            <w:r w:rsidRPr="001E3A30">
              <w:rPr>
                <w:rFonts w:ascii="Times New Roman" w:hAnsi="Times New Roman" w:cs="Times New Roman"/>
                <w:color w:val="000000" w:themeColor="text1"/>
                <w:sz w:val="20"/>
                <w:szCs w:val="20"/>
                <w:lang w:val="en-US"/>
              </w:rPr>
              <w:t xml:space="preserve">, Steck </w:t>
            </w:r>
            <w:r>
              <w:rPr>
                <w:rFonts w:ascii="Times New Roman" w:hAnsi="Times New Roman" w:cs="Times New Roman"/>
                <w:color w:val="000000" w:themeColor="text1"/>
                <w:sz w:val="20"/>
                <w:szCs w:val="20"/>
                <w:lang w:val="en-US"/>
              </w:rPr>
              <w:t>A,</w:t>
            </w:r>
            <w:r w:rsidRPr="001E3A30">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w:t>
            </w:r>
            <w:r w:rsidRPr="001E3A30">
              <w:rPr>
                <w:rFonts w:ascii="Times New Roman" w:hAnsi="Times New Roman" w:cs="Times New Roman"/>
                <w:color w:val="000000" w:themeColor="text1"/>
                <w:sz w:val="20"/>
                <w:szCs w:val="20"/>
                <w:lang w:val="en-US"/>
              </w:rPr>
              <w:t>1997</w:t>
            </w:r>
            <w:r>
              <w:rPr>
                <w:rFonts w:ascii="Times New Roman" w:hAnsi="Times New Roman" w:cs="Times New Roman"/>
                <w:color w:val="000000" w:themeColor="text1"/>
                <w:sz w:val="20"/>
                <w:szCs w:val="20"/>
                <w:lang w:val="en-US"/>
              </w:rPr>
              <w:t xml:space="preserve">). </w:t>
            </w:r>
            <w:r w:rsidRPr="001E3A30">
              <w:rPr>
                <w:rFonts w:ascii="Times New Roman" w:hAnsi="Times New Roman" w:cs="Times New Roman"/>
                <w:color w:val="000000" w:themeColor="text1"/>
                <w:sz w:val="20"/>
                <w:szCs w:val="20"/>
                <w:lang w:val="en-US"/>
              </w:rPr>
              <w:t>General Progress in the Research of Solid Polymer Fuel Cell Technology at Ballard</w:t>
            </w:r>
            <w:r>
              <w:rPr>
                <w:rFonts w:ascii="Times New Roman" w:hAnsi="Times New Roman" w:cs="Times New Roman"/>
                <w:color w:val="000000" w:themeColor="text1"/>
                <w:sz w:val="20"/>
                <w:szCs w:val="20"/>
                <w:lang w:val="en-US"/>
              </w:rPr>
              <w:t xml:space="preserve">.  </w:t>
            </w:r>
            <w:r w:rsidRPr="00A762A6">
              <w:rPr>
                <w:rFonts w:ascii="Times New Roman" w:hAnsi="Times New Roman" w:cs="Times New Roman"/>
                <w:iCs/>
                <w:color w:val="000000" w:themeColor="text1"/>
                <w:sz w:val="20"/>
                <w:szCs w:val="20"/>
                <w:lang w:val="en-US"/>
              </w:rPr>
              <w:t>Second International Symposium on New Materials for Fuel Cell and Modern Battery Systems</w:t>
            </w:r>
            <w:r w:rsidRPr="00A762A6">
              <w:rPr>
                <w:rFonts w:ascii="Times New Roman" w:hAnsi="Times New Roman" w:cs="Times New Roman"/>
                <w:color w:val="000000" w:themeColor="text1"/>
                <w:sz w:val="20"/>
                <w:szCs w:val="20"/>
                <w:lang w:val="en-US"/>
              </w:rPr>
              <w:t>, Montre</w:t>
            </w:r>
            <w:r w:rsidRPr="001E3A30">
              <w:rPr>
                <w:rFonts w:ascii="Times New Roman" w:hAnsi="Times New Roman" w:cs="Times New Roman"/>
                <w:color w:val="000000" w:themeColor="text1"/>
                <w:sz w:val="20"/>
                <w:szCs w:val="20"/>
                <w:lang w:val="en-US"/>
              </w:rPr>
              <w:t>al, Quebec, Canada</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Ralph </w:t>
            </w:r>
            <w:r>
              <w:rPr>
                <w:rFonts w:ascii="Times New Roman" w:hAnsi="Times New Roman" w:cs="Times New Roman"/>
                <w:color w:val="000000" w:themeColor="text1"/>
                <w:sz w:val="20"/>
                <w:szCs w:val="20"/>
                <w:lang w:val="en-US"/>
              </w:rPr>
              <w:t>T</w:t>
            </w:r>
            <w:r w:rsidRPr="001E3A30">
              <w:rPr>
                <w:rFonts w:ascii="Times New Roman" w:hAnsi="Times New Roman" w:cs="Times New Roman"/>
                <w:color w:val="000000" w:themeColor="text1"/>
                <w:sz w:val="20"/>
                <w:szCs w:val="20"/>
                <w:lang w:val="en-US"/>
              </w:rPr>
              <w:t xml:space="preserve">, </w:t>
            </w:r>
            <w:r>
              <w:rPr>
                <w:rFonts w:ascii="Times New Roman" w:hAnsi="Times New Roman" w:cs="Times New Roman"/>
                <w:color w:val="000000" w:themeColor="text1"/>
                <w:sz w:val="20"/>
                <w:szCs w:val="20"/>
                <w:lang w:val="en-US"/>
              </w:rPr>
              <w:t>(</w:t>
            </w:r>
            <w:r w:rsidRPr="001E3A30">
              <w:rPr>
                <w:rFonts w:ascii="Times New Roman" w:hAnsi="Times New Roman" w:cs="Times New Roman"/>
                <w:color w:val="000000" w:themeColor="text1"/>
                <w:sz w:val="20"/>
                <w:szCs w:val="20"/>
                <w:lang w:val="en-US"/>
              </w:rPr>
              <w:t>1997</w:t>
            </w:r>
            <w:r>
              <w:rPr>
                <w:rFonts w:ascii="Times New Roman" w:hAnsi="Times New Roman" w:cs="Times New Roman"/>
                <w:color w:val="000000" w:themeColor="text1"/>
                <w:sz w:val="20"/>
                <w:szCs w:val="20"/>
                <w:lang w:val="en-US"/>
              </w:rPr>
              <w:t xml:space="preserve">). </w:t>
            </w:r>
            <w:r w:rsidRPr="001E3A30">
              <w:rPr>
                <w:rFonts w:ascii="Times New Roman" w:hAnsi="Times New Roman" w:cs="Times New Roman"/>
                <w:color w:val="000000" w:themeColor="text1"/>
                <w:sz w:val="20"/>
                <w:szCs w:val="20"/>
                <w:lang w:val="en-US"/>
              </w:rPr>
              <w:t>Proton Exchange Membrane Fuel Cells: Progress in Cost Reduction of the Key Components</w:t>
            </w:r>
            <w:r>
              <w:rPr>
                <w:rFonts w:ascii="Times New Roman" w:hAnsi="Times New Roman" w:cs="Times New Roman"/>
                <w:color w:val="000000" w:themeColor="text1"/>
                <w:sz w:val="20"/>
                <w:szCs w:val="20"/>
                <w:lang w:val="en-US"/>
              </w:rPr>
              <w:t>.</w:t>
            </w:r>
            <w:r w:rsidRPr="001E3A30">
              <w:rPr>
                <w:rFonts w:ascii="Times New Roman" w:hAnsi="Times New Roman" w:cs="Times New Roman"/>
                <w:color w:val="000000" w:themeColor="text1"/>
                <w:sz w:val="20"/>
                <w:szCs w:val="20"/>
                <w:lang w:val="en-US"/>
              </w:rPr>
              <w:t xml:space="preserve"> </w:t>
            </w:r>
            <w:r w:rsidRPr="001E3A30">
              <w:rPr>
                <w:rFonts w:ascii="Times New Roman" w:hAnsi="Times New Roman" w:cs="Times New Roman"/>
                <w:i/>
                <w:iCs/>
                <w:color w:val="000000" w:themeColor="text1"/>
                <w:sz w:val="20"/>
                <w:szCs w:val="20"/>
                <w:lang w:val="en-US"/>
              </w:rPr>
              <w:t>Platinum Metals Review</w:t>
            </w:r>
            <w:r w:rsidRPr="001E3A30">
              <w:rPr>
                <w:rFonts w:ascii="Times New Roman" w:hAnsi="Times New Roman" w:cs="Times New Roman"/>
                <w:color w:val="000000" w:themeColor="text1"/>
                <w:sz w:val="20"/>
                <w:szCs w:val="20"/>
                <w:lang w:val="en-US"/>
              </w:rPr>
              <w:t xml:space="preserve"> 41</w:t>
            </w:r>
            <w:r>
              <w:rPr>
                <w:rFonts w:ascii="Times New Roman" w:hAnsi="Times New Roman" w:cs="Times New Roman"/>
                <w:color w:val="000000" w:themeColor="text1"/>
                <w:sz w:val="20"/>
                <w:szCs w:val="20"/>
                <w:lang w:val="en-US"/>
              </w:rPr>
              <w:t xml:space="preserve">: </w:t>
            </w:r>
            <w:r w:rsidRPr="001E3A30">
              <w:rPr>
                <w:rFonts w:ascii="Times New Roman" w:hAnsi="Times New Roman" w:cs="Times New Roman"/>
                <w:color w:val="000000" w:themeColor="text1"/>
                <w:sz w:val="20"/>
                <w:szCs w:val="20"/>
                <w:lang w:val="en-US"/>
              </w:rPr>
              <w:t>102-113</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Savinell R, Wainright J, Litt M,</w:t>
            </w:r>
            <w:r>
              <w:rPr>
                <w:rFonts w:ascii="Times New Roman" w:hAnsi="Times New Roman" w:cs="Times New Roman"/>
                <w:color w:val="000000" w:themeColor="text1"/>
                <w:sz w:val="20"/>
                <w:szCs w:val="20"/>
                <w:lang w:val="en-US"/>
              </w:rPr>
              <w:t xml:space="preserve"> (????). </w:t>
            </w:r>
            <w:r w:rsidRPr="001E3A30">
              <w:rPr>
                <w:rFonts w:ascii="Times New Roman" w:hAnsi="Times New Roman" w:cs="Times New Roman"/>
                <w:color w:val="000000" w:themeColor="text1"/>
                <w:sz w:val="20"/>
                <w:szCs w:val="20"/>
                <w:lang w:val="en-US"/>
              </w:rPr>
              <w:t>High Temperature Polymer Electrolyte Fuel Cells</w:t>
            </w:r>
            <w:r>
              <w:rPr>
                <w:rFonts w:ascii="Times New Roman" w:hAnsi="Times New Roman" w:cs="Times New Roman"/>
                <w:color w:val="000000" w:themeColor="text1"/>
                <w:sz w:val="20"/>
                <w:szCs w:val="20"/>
                <w:lang w:val="en-US"/>
              </w:rPr>
              <w:t>.</w:t>
            </w:r>
            <w:r w:rsidRPr="001E3A30">
              <w:rPr>
                <w:rFonts w:ascii="Times New Roman" w:hAnsi="Times New Roman" w:cs="Times New Roman"/>
                <w:color w:val="000000" w:themeColor="text1"/>
                <w:sz w:val="20"/>
                <w:szCs w:val="20"/>
                <w:lang w:val="en-US"/>
              </w:rPr>
              <w:t xml:space="preserve"> Journal </w:t>
            </w:r>
            <w:r>
              <w:rPr>
                <w:rFonts w:ascii="Times New Roman" w:hAnsi="Times New Roman" w:cs="Times New Roman"/>
                <w:color w:val="000000" w:themeColor="text1"/>
                <w:sz w:val="20"/>
                <w:szCs w:val="20"/>
                <w:lang w:val="en-US"/>
              </w:rPr>
              <w:t xml:space="preserve">of </w:t>
            </w:r>
            <w:r w:rsidRPr="001E3A30">
              <w:rPr>
                <w:rFonts w:ascii="Times New Roman" w:hAnsi="Times New Roman" w:cs="Times New Roman"/>
                <w:color w:val="000000" w:themeColor="text1"/>
                <w:sz w:val="20"/>
                <w:szCs w:val="20"/>
                <w:lang w:val="en-US"/>
              </w:rPr>
              <w:t>Electrochemical Society 98-27</w:t>
            </w:r>
            <w:r>
              <w:rPr>
                <w:rFonts w:ascii="Times New Roman" w:hAnsi="Times New Roman" w:cs="Times New Roman"/>
                <w:color w:val="000000" w:themeColor="text1"/>
                <w:sz w:val="20"/>
                <w:szCs w:val="20"/>
                <w:lang w:val="en-US"/>
              </w:rPr>
              <w:t xml:space="preserve">: </w:t>
            </w:r>
            <w:r w:rsidRPr="001E3A30">
              <w:rPr>
                <w:rFonts w:ascii="Times New Roman" w:hAnsi="Times New Roman" w:cs="Times New Roman"/>
                <w:color w:val="000000" w:themeColor="text1"/>
                <w:sz w:val="20"/>
                <w:szCs w:val="20"/>
                <w:lang w:val="en-US"/>
              </w:rPr>
              <w:t>81</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7</w:t>
            </w:r>
          </w:p>
        </w:tc>
        <w:tc>
          <w:tcPr>
            <w:tcW w:w="8505" w:type="dxa"/>
          </w:tcPr>
          <w:p w:rsidR="00580BCE" w:rsidRPr="000B07DF" w:rsidRDefault="00580BCE" w:rsidP="00E872C6">
            <w:pPr>
              <w:autoSpaceDE w:val="0"/>
              <w:autoSpaceDN w:val="0"/>
              <w:adjustRightInd w:val="0"/>
              <w:rPr>
                <w:rFonts w:ascii="Times New Roman" w:hAnsi="Times New Roman" w:cs="Times New Roman"/>
                <w:color w:val="000000" w:themeColor="text1"/>
                <w:sz w:val="20"/>
                <w:szCs w:val="20"/>
                <w:lang w:val="en-US"/>
              </w:rPr>
            </w:pPr>
            <w:r w:rsidRPr="000B07DF">
              <w:rPr>
                <w:rFonts w:ascii="Times New Roman" w:hAnsi="Times New Roman" w:cs="Times New Roman"/>
                <w:color w:val="000000" w:themeColor="text1"/>
                <w:sz w:val="20"/>
                <w:szCs w:val="20"/>
                <w:lang w:val="en-US"/>
              </w:rPr>
              <w:t xml:space="preserve">Ernst W, (2000). PEM Technology Development at Plug Power. </w:t>
            </w:r>
            <w:r w:rsidRPr="000B07DF">
              <w:rPr>
                <w:rFonts w:ascii="Times New Roman" w:hAnsi="Times New Roman" w:cs="Times New Roman"/>
                <w:iCs/>
                <w:color w:val="000000" w:themeColor="text1"/>
                <w:sz w:val="20"/>
                <w:szCs w:val="20"/>
                <w:lang w:val="en-US"/>
              </w:rPr>
              <w:t>2000 Fuel Cell Seminar Program and Abstracts</w:t>
            </w:r>
            <w:r w:rsidRPr="000B07DF">
              <w:rPr>
                <w:rFonts w:ascii="Times New Roman" w:hAnsi="Times New Roman" w:cs="Times New Roman"/>
                <w:color w:val="000000" w:themeColor="text1"/>
                <w:sz w:val="20"/>
                <w:szCs w:val="20"/>
                <w:lang w:val="en-US"/>
              </w:rPr>
              <w:t>, Portland Oregon</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8</w:t>
            </w:r>
          </w:p>
        </w:tc>
        <w:tc>
          <w:tcPr>
            <w:tcW w:w="8505" w:type="dxa"/>
          </w:tcPr>
          <w:p w:rsidR="00580BCE" w:rsidRPr="000B07DF" w:rsidRDefault="00580BCE" w:rsidP="00E872C6">
            <w:pPr>
              <w:widowControl w:val="0"/>
              <w:autoSpaceDE w:val="0"/>
              <w:autoSpaceDN w:val="0"/>
              <w:adjustRightInd w:val="0"/>
              <w:jc w:val="both"/>
              <w:rPr>
                <w:rFonts w:ascii="Times New Roman" w:hAnsi="Times New Roman" w:cs="Times New Roman"/>
                <w:color w:val="FF0000"/>
                <w:sz w:val="20"/>
                <w:szCs w:val="20"/>
                <w:lang w:val="en-US"/>
              </w:rPr>
            </w:pPr>
            <w:r w:rsidRPr="000B07DF">
              <w:rPr>
                <w:rFonts w:ascii="Times New Roman" w:hAnsi="Times New Roman" w:cs="Times New Roman"/>
                <w:color w:val="FF0000"/>
                <w:sz w:val="20"/>
                <w:szCs w:val="20"/>
                <w:lang w:val="en-US"/>
              </w:rPr>
              <w:t>Gordon Research Conference, Rhode Island, July 29 - August 3, 2001</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14</w:t>
            </w:r>
          </w:p>
        </w:tc>
        <w:tc>
          <w:tcPr>
            <w:tcW w:w="8505"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Gasteiger, H.A., </w:t>
            </w:r>
            <w:r w:rsidRPr="001E3A30">
              <w:rPr>
                <w:rFonts w:ascii="Times New Roman" w:hAnsi="Times New Roman" w:cs="Times New Roman"/>
                <w:i/>
                <w:iCs/>
                <w:color w:val="000000" w:themeColor="text1"/>
                <w:sz w:val="20"/>
                <w:szCs w:val="20"/>
                <w:lang w:val="en-US"/>
              </w:rPr>
              <w:t xml:space="preserve">et al. </w:t>
            </w:r>
            <w:r w:rsidRPr="001E3A30">
              <w:rPr>
                <w:rFonts w:ascii="Times New Roman" w:hAnsi="Times New Roman" w:cs="Times New Roman"/>
                <w:color w:val="000000" w:themeColor="text1"/>
                <w:sz w:val="20"/>
                <w:szCs w:val="20"/>
                <w:lang w:val="en-US"/>
              </w:rPr>
              <w:t>(2005), “Activity Benchmarks and Requirements for Pt, Pt-alloy and non-Pt Oxygen Reduction Catalysts for PEMFCs”, Applied Catalysis B: Environmental 56, p. 9-35.</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15</w:t>
            </w:r>
          </w:p>
        </w:tc>
        <w:tc>
          <w:tcPr>
            <w:tcW w:w="8505" w:type="dxa"/>
          </w:tcPr>
          <w:p w:rsidR="00580BCE" w:rsidRPr="001E3A30" w:rsidRDefault="00580BCE" w:rsidP="00E872C6">
            <w:pPr>
              <w:pStyle w:val="Default"/>
              <w:jc w:val="both"/>
              <w:rPr>
                <w:color w:val="000000" w:themeColor="text1"/>
                <w:sz w:val="20"/>
                <w:szCs w:val="20"/>
                <w:lang w:val="en-US"/>
              </w:rPr>
            </w:pPr>
            <w:r w:rsidRPr="001E3A30">
              <w:rPr>
                <w:color w:val="000000" w:themeColor="text1"/>
                <w:sz w:val="20"/>
                <w:szCs w:val="20"/>
                <w:lang w:val="en-US"/>
              </w:rPr>
              <w:t>I. Staffell. Review of PEM fuel cell performance 2007 [cited Sep 2007]; Available from: http://www.form-eng.bham.ac.uk/fuelcells/staffell.htm.</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16</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J. Srmivason, et al., "High Energy Efficiency and High Power Density Proton Exchange Membrane Fuel Cells - Electrode Kinetics and Mass Transport," Journal of Power Sources, p. 36, 1991</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17</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Knights, S.D., </w:t>
            </w:r>
            <w:r w:rsidRPr="001E3A30">
              <w:rPr>
                <w:rFonts w:ascii="Times New Roman" w:hAnsi="Times New Roman" w:cs="Times New Roman"/>
                <w:i/>
                <w:iCs/>
                <w:color w:val="000000" w:themeColor="text1"/>
                <w:sz w:val="20"/>
                <w:szCs w:val="20"/>
                <w:lang w:val="en-US"/>
              </w:rPr>
              <w:t xml:space="preserve">et al. </w:t>
            </w:r>
            <w:r w:rsidRPr="001E3A30">
              <w:rPr>
                <w:rFonts w:ascii="Times New Roman" w:hAnsi="Times New Roman" w:cs="Times New Roman"/>
                <w:color w:val="000000" w:themeColor="text1"/>
                <w:sz w:val="20"/>
                <w:szCs w:val="20"/>
                <w:lang w:val="en-US"/>
              </w:rPr>
              <w:t>(2004), “Aging Mechanisms and Lifetime of PEFC and DMFC”, Journal of Power Sources, Vol. 127, p. 127-134.</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18</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42. T.A. Zawodzinski, T.A. Springer, F. Uribe, S. Gottesfeld, "Characterization of Polymer Electrolytes for Fuel Cell Applications," Solid State Tonics 60, pp. 199-211, North-Holland, 1993.</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19</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43. E. Gulzow, M. Schulze, N. Wagner, et al., J. of Power Sources Vol. 86 pages 352-362, 2000.</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20</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D. Wilkinson, A. Steck, "General Progress in the Research of Solid Polymer Fuel Cell Technology at Ballard," </w:t>
            </w:r>
            <w:r w:rsidRPr="001E3A30">
              <w:rPr>
                <w:rFonts w:ascii="Times New Roman" w:hAnsi="Times New Roman" w:cs="Times New Roman"/>
                <w:i/>
                <w:iCs/>
                <w:color w:val="000000" w:themeColor="text1"/>
                <w:sz w:val="20"/>
                <w:szCs w:val="20"/>
                <w:lang w:val="en-US"/>
              </w:rPr>
              <w:t>Proceedings of the Second International Symposium on New Materials for Fuel Cell and Modern Battery Systems</w:t>
            </w:r>
            <w:r w:rsidRPr="001E3A30">
              <w:rPr>
                <w:rFonts w:ascii="Times New Roman" w:hAnsi="Times New Roman" w:cs="Times New Roman"/>
                <w:color w:val="000000" w:themeColor="text1"/>
                <w:sz w:val="20"/>
                <w:szCs w:val="20"/>
                <w:lang w:val="en-US"/>
              </w:rPr>
              <w:t>, Montreal, Quebec, Canada, July 6-10, 1997.</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23</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Arachi, Y., H. Sakai, O. Yamamoto, Y. Takeda, and N. Imanishi, Solid State Ionics, p. 133, v. 122, (1999).</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24</w:t>
            </w:r>
          </w:p>
        </w:tc>
        <w:tc>
          <w:tcPr>
            <w:tcW w:w="8505"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I. Staffell. Review of Solid Oxide Fuel Cell performance 2007 [cited Sep 2007]; Available from: http://www.form-eng.bham.ac.uk/fuelcells/staffell.htm.</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25</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M.C. Williams, J.P. Strakey, and S.C. Singhal, </w:t>
            </w:r>
            <w:r w:rsidRPr="001E3A30">
              <w:rPr>
                <w:rFonts w:ascii="Times New Roman" w:hAnsi="Times New Roman" w:cs="Times New Roman"/>
                <w:i/>
                <w:iCs/>
                <w:color w:val="000000" w:themeColor="text1"/>
                <w:sz w:val="20"/>
                <w:szCs w:val="20"/>
                <w:lang w:val="en-US"/>
              </w:rPr>
              <w:t xml:space="preserve">U.S. distributed generation fuel cell program. </w:t>
            </w:r>
            <w:r w:rsidRPr="001E3A30">
              <w:rPr>
                <w:rFonts w:ascii="Times New Roman" w:hAnsi="Times New Roman" w:cs="Times New Roman"/>
                <w:color w:val="000000" w:themeColor="text1"/>
                <w:sz w:val="20"/>
                <w:szCs w:val="20"/>
                <w:lang w:val="en-US"/>
              </w:rPr>
              <w:t xml:space="preserve">Journal of Power Sources, 2004. </w:t>
            </w:r>
            <w:r w:rsidRPr="001E3A30">
              <w:rPr>
                <w:rFonts w:ascii="Times New Roman" w:hAnsi="Times New Roman" w:cs="Times New Roman"/>
                <w:b/>
                <w:bCs/>
                <w:color w:val="000000" w:themeColor="text1"/>
                <w:sz w:val="20"/>
                <w:szCs w:val="20"/>
                <w:lang w:val="en-US"/>
              </w:rPr>
              <w:t>131</w:t>
            </w:r>
            <w:r w:rsidRPr="001E3A30">
              <w:rPr>
                <w:rFonts w:ascii="Times New Roman" w:hAnsi="Times New Roman" w:cs="Times New Roman"/>
                <w:color w:val="000000" w:themeColor="text1"/>
                <w:sz w:val="20"/>
                <w:szCs w:val="20"/>
                <w:lang w:val="en-US"/>
              </w:rPr>
              <w:t>: p. 79-85.</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26</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W. Bujalski, C.M. Dikwal, and K. Kendall, </w:t>
            </w:r>
            <w:r w:rsidRPr="001E3A30">
              <w:rPr>
                <w:rFonts w:ascii="Times New Roman" w:hAnsi="Times New Roman" w:cs="Times New Roman"/>
                <w:i/>
                <w:iCs/>
                <w:color w:val="000000" w:themeColor="text1"/>
                <w:sz w:val="20"/>
                <w:szCs w:val="20"/>
                <w:lang w:val="en-US"/>
              </w:rPr>
              <w:t xml:space="preserve">Cycling of three solid oxide fuel cell types. </w:t>
            </w:r>
            <w:r w:rsidRPr="001E3A30">
              <w:rPr>
                <w:rFonts w:ascii="Times New Roman" w:hAnsi="Times New Roman" w:cs="Times New Roman"/>
                <w:color w:val="000000" w:themeColor="text1"/>
                <w:sz w:val="20"/>
                <w:szCs w:val="20"/>
                <w:lang w:val="en-US"/>
              </w:rPr>
              <w:t xml:space="preserve">Journal of Power Sources, 2007. </w:t>
            </w:r>
            <w:r w:rsidRPr="001E3A30">
              <w:rPr>
                <w:rFonts w:ascii="Times New Roman" w:hAnsi="Times New Roman" w:cs="Times New Roman"/>
                <w:b/>
                <w:bCs/>
                <w:color w:val="000000" w:themeColor="text1"/>
                <w:sz w:val="20"/>
                <w:szCs w:val="20"/>
                <w:lang w:val="en-US"/>
              </w:rPr>
              <w:t>171</w:t>
            </w:r>
            <w:r w:rsidRPr="001E3A30">
              <w:rPr>
                <w:rFonts w:ascii="Times New Roman" w:hAnsi="Times New Roman" w:cs="Times New Roman"/>
                <w:color w:val="000000" w:themeColor="text1"/>
                <w:sz w:val="20"/>
                <w:szCs w:val="20"/>
                <w:lang w:val="en-US"/>
              </w:rPr>
              <w:t>(1): p. 96-100.</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27</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A. Yuh, M. Farooque, “Carbonate Fuel Cell Materials,” in </w:t>
            </w:r>
            <w:r w:rsidRPr="001E3A30">
              <w:rPr>
                <w:rFonts w:ascii="Times New Roman" w:hAnsi="Times New Roman" w:cs="Times New Roman"/>
                <w:i/>
                <w:iCs/>
                <w:color w:val="000000" w:themeColor="text1"/>
                <w:sz w:val="20"/>
                <w:szCs w:val="20"/>
                <w:lang w:val="en-US"/>
              </w:rPr>
              <w:t>Advanced Materials and Processes</w:t>
            </w:r>
            <w:r w:rsidRPr="001E3A30">
              <w:rPr>
                <w:rFonts w:ascii="Times New Roman" w:hAnsi="Times New Roman" w:cs="Times New Roman"/>
                <w:color w:val="000000" w:themeColor="text1"/>
                <w:sz w:val="20"/>
                <w:szCs w:val="20"/>
                <w:lang w:val="en-US"/>
              </w:rPr>
              <w:t>, journal published by the American Society of Materials, July, 2002.</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iCs/>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29</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N. Sammes, R. Bove, and K. Stahl, </w:t>
            </w:r>
            <w:r w:rsidRPr="001E3A30">
              <w:rPr>
                <w:rFonts w:ascii="Times New Roman" w:hAnsi="Times New Roman" w:cs="Times New Roman"/>
                <w:i/>
                <w:iCs/>
                <w:color w:val="000000" w:themeColor="text1"/>
                <w:sz w:val="20"/>
                <w:szCs w:val="20"/>
                <w:lang w:val="en-US"/>
              </w:rPr>
              <w:t>Phosphoric acid fuel cells: Fundamentals and applications.</w:t>
            </w:r>
            <w:r w:rsidRPr="001E3A30">
              <w:rPr>
                <w:rFonts w:ascii="Times New Roman" w:hAnsi="Times New Roman" w:cs="Times New Roman"/>
                <w:color w:val="000000" w:themeColor="text1"/>
                <w:sz w:val="20"/>
                <w:szCs w:val="20"/>
                <w:lang w:val="en-US"/>
              </w:rPr>
              <w:t xml:space="preserve">Current Opinion in Solid State and Materials Science, 2004. </w:t>
            </w:r>
            <w:r w:rsidRPr="001E3A30">
              <w:rPr>
                <w:rFonts w:ascii="Times New Roman" w:hAnsi="Times New Roman" w:cs="Times New Roman"/>
                <w:b/>
                <w:bCs/>
                <w:color w:val="000000" w:themeColor="text1"/>
                <w:sz w:val="20"/>
                <w:szCs w:val="20"/>
                <w:lang w:val="en-US"/>
              </w:rPr>
              <w:t>8</w:t>
            </w:r>
            <w:r w:rsidRPr="001E3A30">
              <w:rPr>
                <w:rFonts w:ascii="Times New Roman" w:hAnsi="Times New Roman" w:cs="Times New Roman"/>
                <w:color w:val="000000" w:themeColor="text1"/>
                <w:sz w:val="20"/>
                <w:szCs w:val="20"/>
                <w:lang w:val="en-US"/>
              </w:rPr>
              <w:t>: p. 372-378.</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iCs/>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iCs/>
                <w:color w:val="000000" w:themeColor="text1"/>
                <w:sz w:val="20"/>
                <w:szCs w:val="20"/>
                <w:lang w:val="en-US"/>
              </w:rPr>
            </w:pPr>
            <w:r w:rsidRPr="001E3A30">
              <w:rPr>
                <w:rFonts w:ascii="Times New Roman" w:hAnsi="Times New Roman" w:cs="Times New Roman"/>
                <w:iCs/>
                <w:color w:val="000000" w:themeColor="text1"/>
                <w:sz w:val="20"/>
                <w:szCs w:val="20"/>
                <w:lang w:val="en-US"/>
              </w:rPr>
              <w:t>30</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A. Hawkes and M. Leach, </w:t>
            </w:r>
            <w:r w:rsidRPr="001E3A30">
              <w:rPr>
                <w:rFonts w:ascii="Times New Roman" w:hAnsi="Times New Roman" w:cs="Times New Roman"/>
                <w:i/>
                <w:iCs/>
                <w:color w:val="000000" w:themeColor="text1"/>
                <w:sz w:val="20"/>
                <w:szCs w:val="20"/>
                <w:lang w:val="en-US"/>
              </w:rPr>
              <w:t xml:space="preserve">Solid oxide fuel cell systems for residential micro-combined heat and power in the UK: Key economic drivers. </w:t>
            </w:r>
            <w:r w:rsidRPr="001E3A30">
              <w:rPr>
                <w:rFonts w:ascii="Times New Roman" w:hAnsi="Times New Roman" w:cs="Times New Roman"/>
                <w:color w:val="000000" w:themeColor="text1"/>
                <w:sz w:val="20"/>
                <w:szCs w:val="20"/>
                <w:lang w:val="en-US"/>
              </w:rPr>
              <w:t xml:space="preserve">Journal of Power Sources, 2005. </w:t>
            </w:r>
            <w:r w:rsidRPr="001E3A30">
              <w:rPr>
                <w:rFonts w:ascii="Times New Roman" w:hAnsi="Times New Roman" w:cs="Times New Roman"/>
                <w:b/>
                <w:bCs/>
                <w:color w:val="000000" w:themeColor="text1"/>
                <w:sz w:val="20"/>
                <w:szCs w:val="20"/>
                <w:lang w:val="en-US"/>
              </w:rPr>
              <w:t>149</w:t>
            </w:r>
            <w:r w:rsidRPr="001E3A30">
              <w:rPr>
                <w:rFonts w:ascii="Times New Roman" w:hAnsi="Times New Roman" w:cs="Times New Roman"/>
                <w:color w:val="000000" w:themeColor="text1"/>
                <w:sz w:val="20"/>
                <w:szCs w:val="20"/>
                <w:lang w:val="en-US"/>
              </w:rPr>
              <w:t>: p. 72-83.</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iCs/>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iCs/>
                <w:color w:val="000000" w:themeColor="text1"/>
                <w:sz w:val="20"/>
                <w:szCs w:val="20"/>
                <w:lang w:val="en-US"/>
              </w:rPr>
            </w:pPr>
            <w:r w:rsidRPr="001E3A30">
              <w:rPr>
                <w:rFonts w:ascii="Times New Roman" w:hAnsi="Times New Roman" w:cs="Times New Roman"/>
                <w:iCs/>
                <w:color w:val="000000" w:themeColor="text1"/>
                <w:sz w:val="20"/>
                <w:szCs w:val="20"/>
                <w:lang w:val="en-US"/>
              </w:rPr>
              <w:t>31</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K. Alanne, et al., </w:t>
            </w:r>
            <w:r w:rsidRPr="001E3A30">
              <w:rPr>
                <w:rFonts w:ascii="Times New Roman" w:hAnsi="Times New Roman" w:cs="Times New Roman"/>
                <w:i/>
                <w:iCs/>
                <w:color w:val="000000" w:themeColor="text1"/>
                <w:sz w:val="20"/>
                <w:szCs w:val="20"/>
                <w:lang w:val="en-US"/>
              </w:rPr>
              <w:t xml:space="preserve">The financial viability of an SOFC cogeneration system in single-family dwellings. </w:t>
            </w:r>
            <w:r w:rsidRPr="001E3A30">
              <w:rPr>
                <w:rFonts w:ascii="Times New Roman" w:hAnsi="Times New Roman" w:cs="Times New Roman"/>
                <w:color w:val="000000" w:themeColor="text1"/>
                <w:sz w:val="20"/>
                <w:szCs w:val="20"/>
                <w:lang w:val="en-US"/>
              </w:rPr>
              <w:t xml:space="preserve">Journal of Power Sources, 2006. </w:t>
            </w:r>
            <w:r w:rsidRPr="001E3A30">
              <w:rPr>
                <w:rFonts w:ascii="Times New Roman" w:hAnsi="Times New Roman" w:cs="Times New Roman"/>
                <w:b/>
                <w:bCs/>
                <w:color w:val="000000" w:themeColor="text1"/>
                <w:sz w:val="20"/>
                <w:szCs w:val="20"/>
              </w:rPr>
              <w:t>158</w:t>
            </w:r>
            <w:r w:rsidRPr="001E3A30">
              <w:rPr>
                <w:rFonts w:ascii="Times New Roman" w:hAnsi="Times New Roman" w:cs="Times New Roman"/>
                <w:color w:val="000000" w:themeColor="text1"/>
                <w:sz w:val="20"/>
                <w:szCs w:val="20"/>
              </w:rPr>
              <w:t>(1): p. 403-416.</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32</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13. M. Ghouse, H. Abaoud, and A. Al-Boeiz, </w:t>
            </w:r>
            <w:r w:rsidRPr="001E3A30">
              <w:rPr>
                <w:rFonts w:ascii="Times New Roman" w:hAnsi="Times New Roman" w:cs="Times New Roman"/>
                <w:i/>
                <w:iCs/>
                <w:color w:val="000000" w:themeColor="text1"/>
                <w:sz w:val="20"/>
                <w:szCs w:val="20"/>
                <w:lang w:val="en-US"/>
              </w:rPr>
              <w:t xml:space="preserve">Operational experience of a 1 kW PAFC stack. </w:t>
            </w:r>
            <w:r w:rsidRPr="001E3A30">
              <w:rPr>
                <w:rFonts w:ascii="Times New Roman" w:hAnsi="Times New Roman" w:cs="Times New Roman"/>
                <w:color w:val="000000" w:themeColor="text1"/>
                <w:sz w:val="20"/>
                <w:szCs w:val="20"/>
                <w:lang w:val="en-US"/>
              </w:rPr>
              <w:t xml:space="preserve">Applied Energy, 2000. </w:t>
            </w:r>
            <w:r w:rsidRPr="001E3A30">
              <w:rPr>
                <w:rFonts w:ascii="Times New Roman" w:hAnsi="Times New Roman" w:cs="Times New Roman"/>
                <w:b/>
                <w:bCs/>
                <w:color w:val="000000" w:themeColor="text1"/>
                <w:sz w:val="20"/>
                <w:szCs w:val="20"/>
                <w:lang w:val="en-US"/>
              </w:rPr>
              <w:t>65</w:t>
            </w:r>
            <w:r w:rsidRPr="001E3A30">
              <w:rPr>
                <w:rFonts w:ascii="Times New Roman" w:hAnsi="Times New Roman" w:cs="Times New Roman"/>
                <w:color w:val="000000" w:themeColor="text1"/>
                <w:sz w:val="20"/>
                <w:szCs w:val="20"/>
                <w:lang w:val="en-US"/>
              </w:rPr>
              <w:t>: p. 303-314.</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33</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 J.C. Yang, et al., </w:t>
            </w:r>
            <w:r w:rsidRPr="001E3A30">
              <w:rPr>
                <w:rFonts w:ascii="Times New Roman" w:hAnsi="Times New Roman" w:cs="Times New Roman"/>
                <w:i/>
                <w:iCs/>
                <w:color w:val="000000" w:themeColor="text1"/>
                <w:sz w:val="20"/>
                <w:szCs w:val="20"/>
                <w:lang w:val="en-US"/>
              </w:rPr>
              <w:t xml:space="preserve">Development of a 50 kW PAFC power generation system. </w:t>
            </w:r>
            <w:r w:rsidRPr="001E3A30">
              <w:rPr>
                <w:rFonts w:ascii="Times New Roman" w:hAnsi="Times New Roman" w:cs="Times New Roman"/>
                <w:color w:val="000000" w:themeColor="text1"/>
                <w:sz w:val="20"/>
                <w:szCs w:val="20"/>
                <w:lang w:val="en-US"/>
              </w:rPr>
              <w:t xml:space="preserve">Journal of Power Sources, 2002. </w:t>
            </w:r>
            <w:r w:rsidRPr="001E3A30">
              <w:rPr>
                <w:rFonts w:ascii="Times New Roman" w:hAnsi="Times New Roman" w:cs="Times New Roman"/>
                <w:b/>
                <w:bCs/>
                <w:color w:val="000000" w:themeColor="text1"/>
                <w:sz w:val="20"/>
                <w:szCs w:val="20"/>
                <w:lang w:val="en-US"/>
              </w:rPr>
              <w:t>106</w:t>
            </w:r>
            <w:r w:rsidRPr="001E3A30">
              <w:rPr>
                <w:rFonts w:ascii="Times New Roman" w:hAnsi="Times New Roman" w:cs="Times New Roman"/>
                <w:color w:val="000000" w:themeColor="text1"/>
                <w:sz w:val="20"/>
                <w:szCs w:val="20"/>
                <w:lang w:val="en-US"/>
              </w:rPr>
              <w:t>: p. 68-75</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34</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A.J. Appleby, </w:t>
            </w:r>
            <w:r w:rsidRPr="001E3A30">
              <w:rPr>
                <w:rFonts w:ascii="Times New Roman" w:hAnsi="Times New Roman" w:cs="Times New Roman"/>
                <w:i/>
                <w:iCs/>
                <w:color w:val="000000" w:themeColor="text1"/>
                <w:sz w:val="20"/>
                <w:szCs w:val="20"/>
                <w:lang w:val="en-US"/>
              </w:rPr>
              <w:t xml:space="preserve">Issues in fuel cell commercialization. </w:t>
            </w:r>
            <w:r w:rsidRPr="001E3A30">
              <w:rPr>
                <w:rFonts w:ascii="Times New Roman" w:hAnsi="Times New Roman" w:cs="Times New Roman"/>
                <w:color w:val="000000" w:themeColor="text1"/>
                <w:sz w:val="20"/>
                <w:szCs w:val="20"/>
                <w:lang w:val="en-US"/>
              </w:rPr>
              <w:t xml:space="preserve">Journal of Power Sources, 1996. </w:t>
            </w:r>
            <w:r w:rsidRPr="001E3A30">
              <w:rPr>
                <w:rFonts w:ascii="Times New Roman" w:hAnsi="Times New Roman" w:cs="Times New Roman"/>
                <w:b/>
                <w:bCs/>
                <w:color w:val="000000" w:themeColor="text1"/>
                <w:sz w:val="20"/>
                <w:szCs w:val="20"/>
                <w:lang w:val="en-US"/>
              </w:rPr>
              <w:t>58</w:t>
            </w:r>
            <w:r w:rsidRPr="001E3A30">
              <w:rPr>
                <w:rFonts w:ascii="Times New Roman" w:hAnsi="Times New Roman" w:cs="Times New Roman"/>
                <w:color w:val="000000" w:themeColor="text1"/>
                <w:sz w:val="20"/>
                <w:szCs w:val="20"/>
                <w:lang w:val="en-US"/>
              </w:rPr>
              <w:t xml:space="preserve">(2): p. </w:t>
            </w:r>
            <w:r w:rsidRPr="00580BCE">
              <w:rPr>
                <w:rFonts w:ascii="Times New Roman" w:hAnsi="Times New Roman" w:cs="Times New Roman"/>
                <w:color w:val="000000" w:themeColor="text1"/>
                <w:sz w:val="20"/>
                <w:szCs w:val="20"/>
                <w:lang w:val="en-US"/>
              </w:rPr>
              <w:t>153-176.</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35</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I. Staffell, R. Green, K. Kendall, Cost targets for domestic</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fuel cell CHP, </w:t>
            </w:r>
            <w:r w:rsidRPr="001E3A30">
              <w:rPr>
                <w:rFonts w:ascii="Times New Roman" w:hAnsi="Times New Roman" w:cs="Times New Roman"/>
                <w:i/>
                <w:iCs/>
                <w:color w:val="000000" w:themeColor="text1"/>
                <w:sz w:val="20"/>
                <w:szCs w:val="20"/>
                <w:lang w:val="en-US"/>
              </w:rPr>
              <w:t xml:space="preserve">Journal of Power Sources </w:t>
            </w:r>
            <w:r w:rsidRPr="001E3A30">
              <w:rPr>
                <w:rFonts w:ascii="Times New Roman" w:hAnsi="Times New Roman" w:cs="Times New Roman"/>
                <w:color w:val="000000" w:themeColor="text1"/>
                <w:sz w:val="20"/>
                <w:szCs w:val="20"/>
                <w:lang w:val="en-US"/>
              </w:rPr>
              <w:t>(2007), doi:10.1016/j.jpowsour.2007.11.068</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36</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P. Gouérec, et al., </w:t>
            </w:r>
            <w:r w:rsidRPr="001E3A30">
              <w:rPr>
                <w:rFonts w:ascii="Times New Roman" w:hAnsi="Times New Roman" w:cs="Times New Roman"/>
                <w:i/>
                <w:iCs/>
                <w:color w:val="000000" w:themeColor="text1"/>
                <w:sz w:val="20"/>
                <w:szCs w:val="20"/>
                <w:lang w:val="en-US"/>
              </w:rPr>
              <w:t xml:space="preserve">The evolution of the performance of alkaline fuel cells with circulating electrolyte. </w:t>
            </w:r>
            <w:r w:rsidRPr="001E3A30">
              <w:rPr>
                <w:rFonts w:ascii="Times New Roman" w:hAnsi="Times New Roman" w:cs="Times New Roman"/>
                <w:color w:val="000000" w:themeColor="text1"/>
                <w:sz w:val="20"/>
                <w:szCs w:val="20"/>
                <w:lang w:val="en-US"/>
              </w:rPr>
              <w:t xml:space="preserve">Journal of Power Sources, 2004. </w:t>
            </w:r>
            <w:r w:rsidRPr="001E3A30">
              <w:rPr>
                <w:rFonts w:ascii="Times New Roman" w:hAnsi="Times New Roman" w:cs="Times New Roman"/>
                <w:bCs/>
                <w:color w:val="000000" w:themeColor="text1"/>
                <w:sz w:val="20"/>
                <w:szCs w:val="20"/>
              </w:rPr>
              <w:t>129</w:t>
            </w:r>
            <w:r w:rsidRPr="001E3A30">
              <w:rPr>
                <w:rFonts w:ascii="Times New Roman" w:hAnsi="Times New Roman" w:cs="Times New Roman"/>
                <w:color w:val="000000" w:themeColor="text1"/>
                <w:sz w:val="20"/>
                <w:szCs w:val="20"/>
              </w:rPr>
              <w:t>: p. 193-204.</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37</w:t>
            </w:r>
          </w:p>
        </w:tc>
        <w:tc>
          <w:tcPr>
            <w:tcW w:w="8505"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PriceWaterhouseCoopers “New Energy for World Markets” 2006 Fuel Cell Industry Survey</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38</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2006 Worldwide Fuel Cell Industry Survey</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39</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G.F. McLean, et al., </w:t>
            </w:r>
            <w:r w:rsidRPr="001E3A30">
              <w:rPr>
                <w:rFonts w:ascii="Times New Roman" w:hAnsi="Times New Roman" w:cs="Times New Roman"/>
                <w:i/>
                <w:iCs/>
                <w:color w:val="000000" w:themeColor="text1"/>
                <w:sz w:val="20"/>
                <w:szCs w:val="20"/>
                <w:lang w:val="en-US"/>
              </w:rPr>
              <w:t xml:space="preserve">An assessment of alkaline fuel cell technology. </w:t>
            </w:r>
            <w:r w:rsidRPr="001E3A30">
              <w:rPr>
                <w:rFonts w:ascii="Times New Roman" w:hAnsi="Times New Roman" w:cs="Times New Roman"/>
                <w:color w:val="000000" w:themeColor="text1"/>
                <w:sz w:val="20"/>
                <w:szCs w:val="20"/>
                <w:lang w:val="en-US"/>
              </w:rPr>
              <w:t xml:space="preserve">International Journal of Hydrogen Energy, 2001. </w:t>
            </w:r>
            <w:r w:rsidRPr="001E3A30">
              <w:rPr>
                <w:rFonts w:ascii="Times New Roman" w:hAnsi="Times New Roman" w:cs="Times New Roman"/>
                <w:bCs/>
                <w:color w:val="000000" w:themeColor="text1"/>
                <w:sz w:val="20"/>
                <w:szCs w:val="20"/>
                <w:lang w:val="en-US"/>
              </w:rPr>
              <w:t>27</w:t>
            </w:r>
            <w:r w:rsidRPr="001E3A30">
              <w:rPr>
                <w:rFonts w:ascii="Times New Roman" w:hAnsi="Times New Roman" w:cs="Times New Roman"/>
                <w:color w:val="000000" w:themeColor="text1"/>
                <w:sz w:val="20"/>
                <w:szCs w:val="20"/>
                <w:lang w:val="en-US"/>
              </w:rPr>
              <w:t>(5): p. 507-526.</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40</w:t>
            </w:r>
          </w:p>
        </w:tc>
        <w:tc>
          <w:tcPr>
            <w:tcW w:w="8505" w:type="dxa"/>
          </w:tcPr>
          <w:p w:rsidR="00580BCE" w:rsidRPr="001E3A30" w:rsidRDefault="00580BCE" w:rsidP="00E872C6">
            <w:pPr>
              <w:autoSpaceDE w:val="0"/>
              <w:autoSpaceDN w:val="0"/>
              <w:adjustRightInd w:val="0"/>
              <w:rPr>
                <w:rFonts w:ascii="Times New Roman" w:hAnsi="Times New Roman" w:cs="Times New Roman"/>
                <w:i/>
                <w:iCs/>
                <w:color w:val="000000" w:themeColor="text1"/>
                <w:sz w:val="20"/>
                <w:szCs w:val="20"/>
                <w:lang w:val="en-US"/>
              </w:rPr>
            </w:pPr>
            <w:r w:rsidRPr="001E3A30">
              <w:rPr>
                <w:rFonts w:ascii="Times New Roman" w:hAnsi="Times New Roman" w:cs="Times New Roman"/>
                <w:color w:val="000000" w:themeColor="text1"/>
                <w:sz w:val="20"/>
                <w:szCs w:val="20"/>
                <w:lang w:val="en-US"/>
              </w:rPr>
              <w:t xml:space="preserve">E. Gülzow and M. Schulze, </w:t>
            </w:r>
            <w:r w:rsidRPr="001E3A30">
              <w:rPr>
                <w:rFonts w:ascii="Times New Roman" w:hAnsi="Times New Roman" w:cs="Times New Roman"/>
                <w:i/>
                <w:iCs/>
                <w:color w:val="000000" w:themeColor="text1"/>
                <w:sz w:val="20"/>
                <w:szCs w:val="20"/>
                <w:lang w:val="en-US"/>
              </w:rPr>
              <w:t>Long-term operation of AFC electrodes with CO2 containing gases.</w:t>
            </w:r>
          </w:p>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Journal of Power Sources, 2004. </w:t>
            </w:r>
            <w:r w:rsidRPr="001E3A30">
              <w:rPr>
                <w:rFonts w:ascii="Times New Roman" w:hAnsi="Times New Roman" w:cs="Times New Roman"/>
                <w:bCs/>
                <w:color w:val="000000" w:themeColor="text1"/>
                <w:sz w:val="20"/>
                <w:szCs w:val="20"/>
                <w:lang w:val="en-US"/>
              </w:rPr>
              <w:t>127</w:t>
            </w:r>
            <w:r w:rsidRPr="001E3A30">
              <w:rPr>
                <w:rFonts w:ascii="Times New Roman" w:hAnsi="Times New Roman" w:cs="Times New Roman"/>
                <w:color w:val="000000" w:themeColor="text1"/>
                <w:sz w:val="20"/>
                <w:szCs w:val="20"/>
                <w:lang w:val="en-US"/>
              </w:rPr>
              <w:t>: p. 243-251</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41</w:t>
            </w:r>
          </w:p>
        </w:tc>
        <w:tc>
          <w:tcPr>
            <w:tcW w:w="8505"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I. Staffell. Review of Alkaline Fuel Cell performance 2007 [cited Sep 2007]; Available from: http://www.form-eng.bham.ac.uk/fuelcells/staffell.htm.</w:t>
            </w:r>
          </w:p>
        </w:tc>
      </w:tr>
      <w:tr w:rsidR="00580BCE" w:rsidRPr="001E3A30"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42</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E. DeGeeter, et al., </w:t>
            </w:r>
            <w:r w:rsidRPr="001E3A30">
              <w:rPr>
                <w:rFonts w:ascii="Times New Roman" w:hAnsi="Times New Roman" w:cs="Times New Roman"/>
                <w:i/>
                <w:iCs/>
                <w:color w:val="000000" w:themeColor="text1"/>
                <w:sz w:val="20"/>
                <w:szCs w:val="20"/>
                <w:lang w:val="en-US"/>
              </w:rPr>
              <w:t xml:space="preserve">Alkaline fuel cells for road traction. </w:t>
            </w:r>
            <w:r w:rsidRPr="001E3A30">
              <w:rPr>
                <w:rFonts w:ascii="Times New Roman" w:hAnsi="Times New Roman" w:cs="Times New Roman"/>
                <w:color w:val="000000" w:themeColor="text1"/>
                <w:sz w:val="20"/>
                <w:szCs w:val="20"/>
                <w:lang w:val="en-US"/>
              </w:rPr>
              <w:t xml:space="preserve">Journal of Power Sources, 1999. </w:t>
            </w:r>
            <w:r w:rsidRPr="001E3A30">
              <w:rPr>
                <w:rFonts w:ascii="Times New Roman" w:hAnsi="Times New Roman" w:cs="Times New Roman"/>
                <w:bCs/>
                <w:color w:val="000000" w:themeColor="text1"/>
                <w:sz w:val="20"/>
                <w:szCs w:val="20"/>
                <w:lang w:val="en-US"/>
              </w:rPr>
              <w:t>80</w:t>
            </w:r>
            <w:r w:rsidRPr="001E3A30">
              <w:rPr>
                <w:rFonts w:ascii="Times New Roman" w:hAnsi="Times New Roman" w:cs="Times New Roman"/>
                <w:color w:val="000000" w:themeColor="text1"/>
                <w:sz w:val="20"/>
                <w:szCs w:val="20"/>
                <w:lang w:val="en-US"/>
              </w:rPr>
              <w:t>: p.</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rPr>
              <w:t>207-212.</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43</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Tsuchiya, H. and O. Kobayashi (2004), “Mass Production Cost of PEM Fuel Cell by Learning Curve”, International Journal of Hydrogen Energy, Vol. 29, p. 985-990.</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44</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Teagan, W. P., J. H. J. S. Thijssen, et al. (2000). Current and Future Cost</w:t>
            </w:r>
          </w:p>
          <w:p w:rsidR="00580BCE" w:rsidRPr="00561D18"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Structures of Fuel Cell Technology Alternatives. </w:t>
            </w:r>
            <w:r w:rsidRPr="001E3A30">
              <w:rPr>
                <w:rFonts w:ascii="Times New Roman" w:hAnsi="Times New Roman" w:cs="Times New Roman"/>
                <w:color w:val="000000" w:themeColor="text1"/>
                <w:sz w:val="20"/>
                <w:szCs w:val="20"/>
              </w:rPr>
              <w:t>Fuel Cell 2000, Luzern.</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45</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Blesl, M., U. Fahl and M. Ohl, (2004), “Hochtemperaturbrennstoffzellen und deren Kostenentwicklung”, BWK, Vol. 56, No. 5, p. 72-56.</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46</w:t>
            </w:r>
          </w:p>
        </w:tc>
        <w:tc>
          <w:tcPr>
            <w:tcW w:w="8505" w:type="dxa"/>
          </w:tcPr>
          <w:p w:rsidR="00580BCE" w:rsidRPr="001E3A30" w:rsidRDefault="00580BCE" w:rsidP="00E872C6">
            <w:pPr>
              <w:autoSpaceDE w:val="0"/>
              <w:autoSpaceDN w:val="0"/>
              <w:adjustRightInd w:val="0"/>
              <w:rPr>
                <w:rFonts w:ascii="Times New Roman" w:hAnsi="Times New Roman" w:cs="Times New Roman"/>
                <w:bCs/>
                <w:color w:val="000000" w:themeColor="text1"/>
                <w:sz w:val="20"/>
                <w:szCs w:val="20"/>
                <w:lang w:val="en-US"/>
              </w:rPr>
            </w:pPr>
            <w:r w:rsidRPr="001E3A30">
              <w:rPr>
                <w:rFonts w:ascii="Times New Roman" w:hAnsi="Times New Roman" w:cs="Times New Roman"/>
                <w:color w:val="000000" w:themeColor="text1"/>
                <w:sz w:val="20"/>
                <w:szCs w:val="20"/>
                <w:lang w:val="en-US"/>
              </w:rPr>
              <w:t>J. Cotrell, W. Pratt “</w:t>
            </w:r>
            <w:r w:rsidRPr="001E3A30">
              <w:rPr>
                <w:rFonts w:ascii="Times New Roman" w:hAnsi="Times New Roman" w:cs="Times New Roman"/>
                <w:bCs/>
                <w:color w:val="000000" w:themeColor="text1"/>
                <w:sz w:val="20"/>
                <w:szCs w:val="20"/>
                <w:lang w:val="en-US"/>
              </w:rPr>
              <w:t>Modeling the Feasibility of Using Fuel Cells and Hydrogen Internal Combustion Engines in Remote Renewable Energy</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bCs/>
                <w:color w:val="000000" w:themeColor="text1"/>
                <w:sz w:val="20"/>
                <w:szCs w:val="20"/>
                <w:lang w:val="en-US"/>
              </w:rPr>
              <w:t xml:space="preserve">Systems”  </w:t>
            </w:r>
            <w:r w:rsidRPr="001E3A30">
              <w:rPr>
                <w:rFonts w:ascii="Times New Roman" w:hAnsi="Times New Roman" w:cs="Times New Roman"/>
                <w:color w:val="000000" w:themeColor="text1"/>
                <w:sz w:val="20"/>
                <w:szCs w:val="20"/>
                <w:lang w:val="en-US"/>
              </w:rPr>
              <w:t xml:space="preserve">NREL Technical Review, September 2003 </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47</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Coleman PowerMate, “Airgen Fuel Cell Generator.” http://www.airgen.com/airgen.shtml. </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48</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Fuel Cells 2000, “How Much Do Fuel Cells Cost?” http://www.fuelcells.org/fcfaqs.htm#cost </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49</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Bar-On, I., R. Kirchain and R. Roth, (2002), “Technical Cost Analysis for PEM Fuel Cells”, </w:t>
            </w:r>
            <w:r w:rsidRPr="001E3A30">
              <w:rPr>
                <w:rFonts w:ascii="Times New Roman" w:hAnsi="Times New Roman" w:cs="Times New Roman"/>
                <w:i/>
                <w:iCs/>
                <w:color w:val="000000" w:themeColor="text1"/>
                <w:sz w:val="20"/>
                <w:szCs w:val="20"/>
                <w:lang w:val="en-US"/>
              </w:rPr>
              <w:t xml:space="preserve">Journal of </w:t>
            </w:r>
            <w:r w:rsidRPr="001E3A30">
              <w:rPr>
                <w:rFonts w:ascii="Times New Roman" w:hAnsi="Times New Roman" w:cs="Times New Roman"/>
                <w:i/>
                <w:iCs/>
                <w:color w:val="000000" w:themeColor="text1"/>
                <w:sz w:val="20"/>
                <w:szCs w:val="20"/>
                <w:lang w:val="en-US"/>
              </w:rPr>
              <w:lastRenderedPageBreak/>
              <w:t>Power Sources</w:t>
            </w:r>
            <w:r w:rsidRPr="001E3A30">
              <w:rPr>
                <w:rFonts w:ascii="Times New Roman" w:hAnsi="Times New Roman" w:cs="Times New Roman"/>
                <w:color w:val="000000" w:themeColor="text1"/>
                <w:sz w:val="20"/>
                <w:szCs w:val="20"/>
                <w:lang w:val="en-US"/>
              </w:rPr>
              <w:t>, Vol. 109, p. 71-75.</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lastRenderedPageBreak/>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50</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Ballard (2005), Fuel Cell Technology “Road Map”, Ballard ,</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www.ballard.com/be_informed/fuel_cell_technology/roadmap</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51</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De Castro, E., </w:t>
            </w:r>
            <w:r w:rsidRPr="001E3A30">
              <w:rPr>
                <w:rFonts w:ascii="Times New Roman" w:hAnsi="Times New Roman" w:cs="Times New Roman"/>
                <w:i/>
                <w:iCs/>
                <w:color w:val="000000" w:themeColor="text1"/>
                <w:sz w:val="20"/>
                <w:szCs w:val="20"/>
                <w:lang w:val="en-US"/>
              </w:rPr>
              <w:t xml:space="preserve">et al. </w:t>
            </w:r>
            <w:r w:rsidRPr="001E3A30">
              <w:rPr>
                <w:rFonts w:ascii="Times New Roman" w:hAnsi="Times New Roman" w:cs="Times New Roman"/>
                <w:color w:val="000000" w:themeColor="text1"/>
                <w:sz w:val="20"/>
                <w:szCs w:val="20"/>
                <w:lang w:val="en-US"/>
              </w:rPr>
              <w:t>(2004), “Approaches for Low-Cost Components and MEAs for PEFCs: Current and Future Directions”, paper presented at the 2004 Fuel Cell Conference,</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http://www.fuelcellseminar.com/pdf/2004/82%20De%20Castro.pdf</w:t>
            </w:r>
          </w:p>
        </w:tc>
      </w:tr>
      <w:tr w:rsidR="00580BCE" w:rsidRPr="001E3A30" w:rsidTr="00E872C6">
        <w:tc>
          <w:tcPr>
            <w:tcW w:w="709" w:type="dxa"/>
          </w:tcPr>
          <w:p w:rsidR="00580BCE" w:rsidRPr="001E3A30" w:rsidRDefault="003F653F" w:rsidP="00E872C6">
            <w:pPr>
              <w:widowControl w:val="0"/>
              <w:autoSpaceDE w:val="0"/>
              <w:autoSpaceDN w:val="0"/>
              <w:adjustRightInd w:val="0"/>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52</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PricewaterhouseCoopers. </w:t>
            </w:r>
            <w:r w:rsidRPr="001E3A30">
              <w:rPr>
                <w:rFonts w:ascii="Times New Roman" w:hAnsi="Times New Roman" w:cs="Times New Roman"/>
                <w:i/>
                <w:iCs/>
                <w:color w:val="000000" w:themeColor="text1"/>
                <w:sz w:val="20"/>
                <w:szCs w:val="20"/>
                <w:lang w:val="en-US"/>
              </w:rPr>
              <w:t>2007 Fuel Cell Industry Survey</w:t>
            </w:r>
            <w:r w:rsidRPr="001E3A30">
              <w:rPr>
                <w:rFonts w:ascii="Times New Roman" w:hAnsi="Times New Roman" w:cs="Times New Roman"/>
                <w:color w:val="000000" w:themeColor="text1"/>
                <w:sz w:val="20"/>
                <w:szCs w:val="20"/>
                <w:lang w:val="en-US"/>
              </w:rPr>
              <w:t>. 2007 [cited Sep 2007]; Available from: http://www.pwc.com/extweb/pwcpublications.nsf/DocID/25582836BD5E736A852570CA0017</w:t>
            </w:r>
          </w:p>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rPr>
              <w:t>8BC7.</w:t>
            </w:r>
          </w:p>
        </w:tc>
      </w:tr>
      <w:tr w:rsidR="00580BCE" w:rsidRPr="001E3A30" w:rsidTr="00E872C6">
        <w:tc>
          <w:tcPr>
            <w:tcW w:w="709" w:type="dxa"/>
          </w:tcPr>
          <w:p w:rsidR="00580BCE" w:rsidRPr="001E3A30" w:rsidRDefault="003F653F" w:rsidP="00E872C6">
            <w:pPr>
              <w:pStyle w:val="Default"/>
              <w:widowControl w:val="0"/>
              <w:jc w:val="both"/>
              <w:rPr>
                <w:color w:val="000000" w:themeColor="text1"/>
                <w:sz w:val="20"/>
                <w:szCs w:val="20"/>
                <w:lang w:val="en-US"/>
              </w:rPr>
            </w:pPr>
            <w:r>
              <w:rPr>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53</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 xml:space="preserve">K. Kendall and S.C. Singhal, </w:t>
            </w:r>
            <w:r w:rsidRPr="001E3A30">
              <w:rPr>
                <w:rFonts w:ascii="Times New Roman" w:hAnsi="Times New Roman" w:cs="Times New Roman"/>
                <w:i/>
                <w:iCs/>
                <w:color w:val="000000" w:themeColor="text1"/>
                <w:sz w:val="20"/>
                <w:szCs w:val="20"/>
                <w:lang w:val="en-US"/>
              </w:rPr>
              <w:t>Solid Oxide Fuel Cells</w:t>
            </w:r>
            <w:r w:rsidRPr="001E3A30">
              <w:rPr>
                <w:rFonts w:ascii="Times New Roman" w:hAnsi="Times New Roman" w:cs="Times New Roman"/>
                <w:color w:val="000000" w:themeColor="text1"/>
                <w:sz w:val="20"/>
                <w:szCs w:val="20"/>
                <w:lang w:val="en-US"/>
              </w:rPr>
              <w:t>. 2003: Elsevier Science.</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54</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Hanna L. Hellmana, Robert van den Hoedb“Characterising fuel cell technology: Challenges of the commercialisation process” International Journal of Hydrogen Energy 32 (2007) 305 – 315</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bCs/>
                <w:color w:val="000000" w:themeColor="text1"/>
                <w:sz w:val="20"/>
                <w:szCs w:val="20"/>
                <w:lang w:val="en-US"/>
              </w:rPr>
              <w:t>55</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PriceWaterhouseCoopers. Page 6. 2005 Fuel cell industry survey, a survey of 2004 financial results of public fuel cell companies, 2005.</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bCs/>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56</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PriceWaterhouseCoopers. 2004 Worldwide fuel cell industry survey, 2004.</w:t>
            </w:r>
          </w:p>
        </w:tc>
      </w:tr>
      <w:tr w:rsidR="00580BCE" w:rsidRPr="00CD2F7F" w:rsidTr="00E872C6">
        <w:tc>
          <w:tcPr>
            <w:tcW w:w="709" w:type="dxa"/>
          </w:tcPr>
          <w:p w:rsidR="00580BCE" w:rsidRPr="001E3A30" w:rsidRDefault="003F653F" w:rsidP="00E872C6">
            <w:pPr>
              <w:autoSpaceDE w:val="0"/>
              <w:autoSpaceDN w:val="0"/>
              <w:adjustRightInd w:val="0"/>
              <w:jc w:val="both"/>
              <w:rPr>
                <w:rFonts w:ascii="Times New Roman" w:hAnsi="Times New Roman" w:cs="Times New Roman"/>
                <w:bCs/>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57</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Phil Doran, Simon Robeson, David Wright, James Craven “Finance and the fuel cell industry: a review of the current financing climate” International Journal of Hydrogen Energy 28 (2003) 713 – 715</w:t>
            </w:r>
          </w:p>
        </w:tc>
      </w:tr>
      <w:tr w:rsidR="00580BCE" w:rsidRPr="001E3A30"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580BCE" w:rsidP="00E872C6">
            <w:pPr>
              <w:autoSpaceDE w:val="0"/>
              <w:autoSpaceDN w:val="0"/>
              <w:adjustRightInd w:val="0"/>
              <w:jc w:val="both"/>
              <w:rPr>
                <w:rFonts w:ascii="Times New Roman" w:hAnsi="Times New Roman" w:cs="Times New Roman"/>
                <w:bCs/>
                <w:color w:val="000000" w:themeColor="text1"/>
                <w:sz w:val="20"/>
                <w:szCs w:val="20"/>
                <w:lang w:val="en-US"/>
              </w:rPr>
            </w:pPr>
            <w:r w:rsidRPr="001E3A30">
              <w:rPr>
                <w:rFonts w:ascii="Times New Roman" w:hAnsi="Times New Roman" w:cs="Times New Roman"/>
                <w:bCs/>
                <w:color w:val="000000" w:themeColor="text1"/>
                <w:sz w:val="20"/>
                <w:szCs w:val="20"/>
                <w:lang w:val="en-US"/>
              </w:rPr>
              <w:t>58</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Cropper, M. and D. Jollie (2002). "Fuel Cell Systems: A Survey of Worldwide Activity." Fuel Cell Today Online.</w:t>
            </w:r>
          </w:p>
        </w:tc>
      </w:tr>
      <w:tr w:rsidR="00580BCE" w:rsidRPr="00CD2F7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w:t>
            </w:r>
          </w:p>
        </w:tc>
        <w:tc>
          <w:tcPr>
            <w:tcW w:w="709" w:type="dxa"/>
          </w:tcPr>
          <w:p w:rsidR="00580BCE" w:rsidRPr="001E3A30" w:rsidRDefault="00E872C6" w:rsidP="00E872C6">
            <w:pPr>
              <w:autoSpaceDE w:val="0"/>
              <w:autoSpaceDN w:val="0"/>
              <w:adjustRightInd w:val="0"/>
              <w:jc w:val="both"/>
              <w:rPr>
                <w:rFonts w:ascii="Times New Roman" w:hAnsi="Times New Roman" w:cs="Times New Roman"/>
                <w:bCs/>
                <w:color w:val="000000" w:themeColor="text1"/>
                <w:sz w:val="20"/>
                <w:szCs w:val="20"/>
                <w:lang w:val="en-US"/>
              </w:rPr>
            </w:pPr>
            <w:r w:rsidRPr="001E3A30">
              <w:rPr>
                <w:rFonts w:ascii="Times New Roman" w:hAnsi="Times New Roman" w:cs="Times New Roman"/>
                <w:color w:val="000000" w:themeColor="text1"/>
                <w:sz w:val="20"/>
                <w:szCs w:val="20"/>
                <w:lang w:val="en-US"/>
              </w:rPr>
              <w:t>59</w:t>
            </w:r>
          </w:p>
        </w:tc>
        <w:tc>
          <w:tcPr>
            <w:tcW w:w="8505" w:type="dxa"/>
          </w:tcPr>
          <w:p w:rsidR="00580BCE" w:rsidRPr="001E3A30" w:rsidRDefault="00580BCE" w:rsidP="00E872C6">
            <w:pPr>
              <w:autoSpaceDE w:val="0"/>
              <w:autoSpaceDN w:val="0"/>
              <w:adjustRightInd w:val="0"/>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UNEP (2002). Fuel Cell Market Prospects and Intervention Strategies, United Nations Environment Programme, Imperial College Centre for Energy Policy and Technology.</w:t>
            </w:r>
          </w:p>
        </w:tc>
      </w:tr>
      <w:tr w:rsidR="00580BCE" w:rsidRPr="0096655B"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60</w:t>
            </w:r>
          </w:p>
        </w:tc>
        <w:tc>
          <w:tcPr>
            <w:tcW w:w="8505" w:type="dxa"/>
          </w:tcPr>
          <w:p w:rsidR="00580BCE" w:rsidRPr="001E3A30" w:rsidRDefault="003D71E9"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Larminie J</w:t>
            </w:r>
            <w:r w:rsidR="0096655B">
              <w:rPr>
                <w:rFonts w:ascii="Times New Roman" w:hAnsi="Times New Roman" w:cs="Times New Roman"/>
                <w:bCs/>
                <w:color w:val="000000" w:themeColor="text1"/>
                <w:sz w:val="20"/>
                <w:szCs w:val="20"/>
                <w:lang w:val="en-US"/>
              </w:rPr>
              <w:t>, Dicks A, (2003). Fuel Cell Systems Explained 2nd Ed. John Wiley &amp; Sons Ltd</w:t>
            </w:r>
          </w:p>
        </w:tc>
      </w:tr>
      <w:tr w:rsidR="00580BCE" w:rsidRPr="003F653F" w:rsidTr="00E872C6">
        <w:tc>
          <w:tcPr>
            <w:tcW w:w="709" w:type="dxa"/>
          </w:tcPr>
          <w:p w:rsidR="00580BCE" w:rsidRPr="001E3A30" w:rsidRDefault="003F653F"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w:t>
            </w: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61</w:t>
            </w:r>
          </w:p>
        </w:tc>
        <w:tc>
          <w:tcPr>
            <w:tcW w:w="8505" w:type="dxa"/>
          </w:tcPr>
          <w:p w:rsidR="00580BCE" w:rsidRPr="001E3A30" w:rsidRDefault="003F653F"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 xml:space="preserve">Srinivasan S, (2006). Fuel Cells: From Fundamentals to Applications. Springer Science + Business Media LLC </w:t>
            </w:r>
          </w:p>
        </w:tc>
      </w:tr>
      <w:tr w:rsidR="00580BCE" w:rsidRPr="003F653F"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r w:rsidRPr="001E3A30">
              <w:rPr>
                <w:rFonts w:ascii="Times New Roman" w:hAnsi="Times New Roman" w:cs="Times New Roman"/>
                <w:bCs/>
                <w:color w:val="000000" w:themeColor="text1"/>
                <w:sz w:val="20"/>
                <w:szCs w:val="20"/>
                <w:lang w:val="en-US"/>
              </w:rPr>
              <w:t>62</w:t>
            </w:r>
          </w:p>
        </w:tc>
        <w:tc>
          <w:tcPr>
            <w:tcW w:w="8505" w:type="dxa"/>
          </w:tcPr>
          <w:p w:rsidR="00580BCE" w:rsidRPr="00A97CCC" w:rsidRDefault="003F653F" w:rsidP="00A97CCC">
            <w:pPr>
              <w:autoSpaceDE w:val="0"/>
              <w:autoSpaceDN w:val="0"/>
              <w:adjustRightInd w:val="0"/>
              <w:rPr>
                <w:rFonts w:ascii="Times-Roman" w:hAnsi="Times-Roman" w:cs="Times-Roman"/>
                <w:color w:val="000000"/>
                <w:sz w:val="20"/>
                <w:szCs w:val="20"/>
                <w:lang w:val="en-US"/>
              </w:rPr>
            </w:pPr>
            <w:r w:rsidRPr="00A97CCC">
              <w:rPr>
                <w:rFonts w:ascii="Times-Roman" w:hAnsi="Times-Roman" w:cs="Times-Roman"/>
                <w:color w:val="000000"/>
                <w:sz w:val="20"/>
                <w:szCs w:val="20"/>
                <w:lang w:val="en-US"/>
              </w:rPr>
              <w:t>Farooque M, Maru H, (2006). Carbonate Fuel cells: Milliwatts to megawatts.</w:t>
            </w:r>
            <w:r w:rsidR="00A97CCC" w:rsidRPr="00A97CCC">
              <w:rPr>
                <w:rFonts w:ascii="Times-Roman" w:hAnsi="Times-Roman" w:cs="Times-Roman"/>
                <w:color w:val="000000"/>
                <w:sz w:val="20"/>
                <w:szCs w:val="20"/>
                <w:lang w:val="en-US"/>
              </w:rPr>
              <w:t xml:space="preserve"> Journal of Power Sources 160 827 - 834</w:t>
            </w:r>
            <w:r w:rsidRPr="00A97CCC">
              <w:rPr>
                <w:rFonts w:ascii="Times-Roman" w:hAnsi="Times-Roman" w:cs="Times-Roman"/>
                <w:color w:val="000000"/>
                <w:sz w:val="20"/>
                <w:szCs w:val="20"/>
                <w:lang w:val="en-US"/>
              </w:rPr>
              <w:t xml:space="preserve"> </w:t>
            </w:r>
          </w:p>
        </w:tc>
      </w:tr>
      <w:tr w:rsidR="00580BCE" w:rsidRPr="001E3A30"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63</w:t>
            </w:r>
          </w:p>
        </w:tc>
        <w:tc>
          <w:tcPr>
            <w:tcW w:w="8505" w:type="dxa"/>
          </w:tcPr>
          <w:p w:rsidR="00A97CCC" w:rsidRPr="00A97CCC" w:rsidRDefault="00A97CCC" w:rsidP="00A97CCC">
            <w:pPr>
              <w:autoSpaceDE w:val="0"/>
              <w:autoSpaceDN w:val="0"/>
              <w:adjustRightInd w:val="0"/>
              <w:rPr>
                <w:rFonts w:ascii="Times-Roman" w:hAnsi="Times-Roman" w:cs="Times-Roman"/>
                <w:sz w:val="16"/>
                <w:szCs w:val="16"/>
                <w:lang w:val="en-US"/>
              </w:rPr>
            </w:pPr>
            <w:r w:rsidRPr="00A97CCC">
              <w:rPr>
                <w:rFonts w:ascii="Times-Roman" w:hAnsi="Times-Roman" w:cs="Times-Roman"/>
                <w:sz w:val="16"/>
                <w:szCs w:val="16"/>
                <w:lang w:val="en-US"/>
              </w:rPr>
              <w:t>Fuel Cell Handbook by EG&amp;G Technical Services, Inc., Science</w:t>
            </w:r>
          </w:p>
          <w:p w:rsidR="00A97CCC" w:rsidRPr="00A97CCC" w:rsidRDefault="00A97CCC" w:rsidP="00A97CCC">
            <w:pPr>
              <w:autoSpaceDE w:val="0"/>
              <w:autoSpaceDN w:val="0"/>
              <w:adjustRightInd w:val="0"/>
              <w:rPr>
                <w:rFonts w:ascii="Times-Roman" w:hAnsi="Times-Roman" w:cs="Times-Roman"/>
                <w:sz w:val="16"/>
                <w:szCs w:val="16"/>
                <w:lang w:val="en-US"/>
              </w:rPr>
            </w:pPr>
            <w:r w:rsidRPr="00A97CCC">
              <w:rPr>
                <w:rFonts w:ascii="Times-Roman" w:hAnsi="Times-Roman" w:cs="Times-Roman"/>
                <w:sz w:val="16"/>
                <w:szCs w:val="16"/>
                <w:lang w:val="en-US"/>
              </w:rPr>
              <w:t>Applications International Corporation, 6th ed., DOE/NETL,</w:t>
            </w:r>
          </w:p>
          <w:p w:rsidR="00A97CCC" w:rsidRDefault="00A97CCC" w:rsidP="00A97CCC">
            <w:pPr>
              <w:autoSpaceDE w:val="0"/>
              <w:autoSpaceDN w:val="0"/>
              <w:adjustRightInd w:val="0"/>
              <w:rPr>
                <w:rFonts w:ascii="Times-Roman" w:hAnsi="Times-Roman" w:cs="Times-Roman"/>
                <w:sz w:val="20"/>
                <w:szCs w:val="20"/>
              </w:rPr>
            </w:pPr>
            <w:r>
              <w:rPr>
                <w:rFonts w:ascii="Times-Roman" w:hAnsi="Times-Roman" w:cs="Times-Roman"/>
                <w:sz w:val="16"/>
                <w:szCs w:val="16"/>
              </w:rPr>
              <w:t>2002.</w:t>
            </w:r>
          </w:p>
          <w:p w:rsidR="00580BCE" w:rsidRPr="001E3A30" w:rsidRDefault="00580BCE"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p>
        </w:tc>
      </w:tr>
      <w:tr w:rsidR="00580BCE" w:rsidRPr="00CD2F7F"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64</w:t>
            </w:r>
          </w:p>
        </w:tc>
        <w:tc>
          <w:tcPr>
            <w:tcW w:w="8505" w:type="dxa"/>
          </w:tcPr>
          <w:p w:rsidR="00A97CCC" w:rsidRPr="00A97CCC" w:rsidRDefault="00A97CCC" w:rsidP="00A97CCC">
            <w:pPr>
              <w:autoSpaceDE w:val="0"/>
              <w:autoSpaceDN w:val="0"/>
              <w:adjustRightInd w:val="0"/>
              <w:rPr>
                <w:rFonts w:ascii="Times New Roman" w:hAnsi="Times New Roman" w:cs="Times New Roman"/>
                <w:sz w:val="20"/>
                <w:szCs w:val="20"/>
                <w:lang w:val="en-US"/>
              </w:rPr>
            </w:pPr>
            <w:r w:rsidRPr="00A97CCC">
              <w:rPr>
                <w:rFonts w:ascii="Times New Roman" w:hAnsi="Times New Roman" w:cs="Times New Roman"/>
                <w:sz w:val="20"/>
                <w:szCs w:val="20"/>
                <w:lang w:val="en-US"/>
              </w:rPr>
              <w:t>Onovwiona I,</w:t>
            </w:r>
            <w:r>
              <w:rPr>
                <w:rFonts w:ascii="Times New Roman" w:hAnsi="Times New Roman" w:cs="Times New Roman"/>
                <w:sz w:val="20"/>
                <w:szCs w:val="20"/>
                <w:lang w:val="en-US"/>
              </w:rPr>
              <w:t xml:space="preserve"> </w:t>
            </w:r>
            <w:r w:rsidRPr="00A97CCC">
              <w:rPr>
                <w:rFonts w:ascii="Times New Roman" w:hAnsi="Times New Roman" w:cs="Times New Roman"/>
                <w:sz w:val="20"/>
                <w:szCs w:val="20"/>
                <w:lang w:val="en-US"/>
              </w:rPr>
              <w:t>Ugursal V</w:t>
            </w:r>
            <w:r>
              <w:rPr>
                <w:rFonts w:ascii="Times New Roman" w:hAnsi="Times New Roman" w:cs="Times New Roman"/>
                <w:sz w:val="20"/>
                <w:szCs w:val="20"/>
                <w:lang w:val="en-US"/>
              </w:rPr>
              <w:t xml:space="preserve">, (2006). </w:t>
            </w:r>
            <w:r w:rsidRPr="00A97CCC">
              <w:rPr>
                <w:rFonts w:ascii="Times New Roman" w:hAnsi="Times New Roman" w:cs="Times New Roman"/>
                <w:sz w:val="20"/>
                <w:szCs w:val="20"/>
                <w:lang w:val="en-US"/>
              </w:rPr>
              <w:t>Residential cogeneration systems: review</w:t>
            </w:r>
            <w:r>
              <w:rPr>
                <w:rFonts w:ascii="Times New Roman" w:hAnsi="Times New Roman" w:cs="Times New Roman"/>
                <w:sz w:val="20"/>
                <w:szCs w:val="20"/>
                <w:lang w:val="en-US"/>
              </w:rPr>
              <w:t xml:space="preserve"> </w:t>
            </w:r>
            <w:r w:rsidRPr="00A97CCC">
              <w:rPr>
                <w:rFonts w:ascii="Times New Roman" w:hAnsi="Times New Roman" w:cs="Times New Roman"/>
                <w:sz w:val="20"/>
                <w:szCs w:val="20"/>
                <w:lang w:val="en-US"/>
              </w:rPr>
              <w:t>of the current technology</w:t>
            </w:r>
          </w:p>
          <w:p w:rsidR="00580BCE" w:rsidRPr="00A97CCC" w:rsidRDefault="00A97CCC" w:rsidP="00A97CCC">
            <w:pPr>
              <w:autoSpaceDE w:val="0"/>
              <w:autoSpaceDN w:val="0"/>
              <w:adjustRightInd w:val="0"/>
              <w:rPr>
                <w:rFonts w:ascii="AdvPS6F00" w:hAnsi="AdvPS6F00" w:cs="AdvPS6F00"/>
                <w:sz w:val="20"/>
                <w:szCs w:val="20"/>
                <w:lang w:val="en-US"/>
              </w:rPr>
            </w:pPr>
            <w:r w:rsidRPr="00A97CCC">
              <w:rPr>
                <w:rFonts w:ascii="Times New Roman" w:hAnsi="Times New Roman" w:cs="Times New Roman"/>
                <w:sz w:val="20"/>
                <w:szCs w:val="20"/>
                <w:lang w:val="en-US"/>
              </w:rPr>
              <w:t>Renewable and Sustainable Energy Reviews</w:t>
            </w:r>
            <w:r>
              <w:rPr>
                <w:rFonts w:ascii="Times New Roman" w:hAnsi="Times New Roman" w:cs="Times New Roman"/>
                <w:sz w:val="20"/>
                <w:szCs w:val="20"/>
                <w:lang w:val="en-US"/>
              </w:rPr>
              <w:t xml:space="preserve"> </w:t>
            </w:r>
            <w:r w:rsidRPr="00A97CCC">
              <w:rPr>
                <w:rFonts w:ascii="Times New Roman" w:hAnsi="Times New Roman" w:cs="Times New Roman"/>
                <w:sz w:val="20"/>
                <w:szCs w:val="20"/>
                <w:lang w:val="en-US"/>
              </w:rPr>
              <w:t>10 389–431</w:t>
            </w:r>
          </w:p>
        </w:tc>
      </w:tr>
      <w:tr w:rsidR="00580BCE" w:rsidRPr="00A97CCC"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bCs/>
                <w:color w:val="000000" w:themeColor="text1"/>
                <w:sz w:val="20"/>
                <w:szCs w:val="20"/>
                <w:lang w:val="en-US"/>
              </w:rPr>
            </w:pPr>
            <w:r w:rsidRPr="001E3A30">
              <w:rPr>
                <w:rFonts w:ascii="Times New Roman" w:hAnsi="Times New Roman" w:cs="Times New Roman"/>
                <w:bCs/>
                <w:color w:val="000000" w:themeColor="text1"/>
                <w:sz w:val="20"/>
                <w:szCs w:val="20"/>
                <w:lang w:val="en-US"/>
              </w:rPr>
              <w:t>65</w:t>
            </w:r>
          </w:p>
        </w:tc>
        <w:tc>
          <w:tcPr>
            <w:tcW w:w="8505" w:type="dxa"/>
          </w:tcPr>
          <w:p w:rsidR="00580BCE" w:rsidRPr="00A97CCC" w:rsidRDefault="00A97CCC" w:rsidP="00A97CCC">
            <w:pPr>
              <w:autoSpaceDE w:val="0"/>
              <w:autoSpaceDN w:val="0"/>
              <w:adjustRightInd w:val="0"/>
              <w:rPr>
                <w:rFonts w:ascii="Times New Roman" w:hAnsi="Times New Roman" w:cs="Times New Roman"/>
                <w:sz w:val="20"/>
                <w:szCs w:val="20"/>
                <w:lang w:val="en-US"/>
              </w:rPr>
            </w:pPr>
            <w:r w:rsidRPr="00A97CCC">
              <w:rPr>
                <w:rFonts w:ascii="Times New Roman" w:hAnsi="Times New Roman" w:cs="Times New Roman"/>
                <w:sz w:val="20"/>
                <w:szCs w:val="20"/>
                <w:lang w:val="en-US"/>
              </w:rPr>
              <w:t xml:space="preserve">Zink F, Lu Y, Schaefer L, (2007). A solid oxide fuel cell system for buildings. </w:t>
            </w:r>
            <w:r w:rsidRPr="00A97CCC">
              <w:rPr>
                <w:rFonts w:ascii="Times New Roman" w:hAnsi="Times New Roman" w:cs="Times New Roman"/>
                <w:sz w:val="20"/>
                <w:szCs w:val="20"/>
              </w:rPr>
              <w:t>Energy Conversion and Management 48 809–818</w:t>
            </w:r>
          </w:p>
        </w:tc>
      </w:tr>
      <w:tr w:rsidR="00580BCE" w:rsidRPr="00866216"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66</w:t>
            </w:r>
          </w:p>
        </w:tc>
        <w:tc>
          <w:tcPr>
            <w:tcW w:w="8505" w:type="dxa"/>
          </w:tcPr>
          <w:p w:rsidR="00580BCE" w:rsidRPr="00866216" w:rsidRDefault="00866216" w:rsidP="00866216">
            <w:pPr>
              <w:autoSpaceDE w:val="0"/>
              <w:autoSpaceDN w:val="0"/>
              <w:adjustRightInd w:val="0"/>
              <w:rPr>
                <w:rFonts w:ascii="Times New Roman" w:hAnsi="Times New Roman" w:cs="Times New Roman"/>
                <w:sz w:val="20"/>
                <w:szCs w:val="20"/>
                <w:lang w:val="en-US"/>
              </w:rPr>
            </w:pPr>
            <w:r w:rsidRPr="00866216">
              <w:rPr>
                <w:rFonts w:ascii="Times New Roman" w:hAnsi="Times New Roman" w:cs="Times New Roman"/>
                <w:sz w:val="20"/>
                <w:szCs w:val="20"/>
                <w:lang w:val="en-US"/>
              </w:rPr>
              <w:t xml:space="preserve">Haile S, (2003). Fuel cell materials and components. </w:t>
            </w:r>
            <w:r w:rsidRPr="00866216">
              <w:rPr>
                <w:rFonts w:ascii="Times New Roman" w:hAnsi="Times New Roman" w:cs="Times New Roman"/>
                <w:sz w:val="20"/>
                <w:szCs w:val="20"/>
              </w:rPr>
              <w:t>Acta Materialia 51 5981–6000</w:t>
            </w:r>
          </w:p>
        </w:tc>
      </w:tr>
      <w:tr w:rsidR="00580BCE" w:rsidRPr="001E3A30"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67</w:t>
            </w:r>
          </w:p>
        </w:tc>
        <w:tc>
          <w:tcPr>
            <w:tcW w:w="8505" w:type="dxa"/>
          </w:tcPr>
          <w:p w:rsidR="00580BCE" w:rsidRPr="00866216" w:rsidRDefault="00866216" w:rsidP="00866216">
            <w:pPr>
              <w:autoSpaceDE w:val="0"/>
              <w:autoSpaceDN w:val="0"/>
              <w:adjustRightInd w:val="0"/>
              <w:rPr>
                <w:rFonts w:ascii="Times New Roman" w:hAnsi="Times New Roman" w:cs="Times New Roman"/>
                <w:sz w:val="20"/>
                <w:szCs w:val="20"/>
                <w:lang w:val="en-US"/>
              </w:rPr>
            </w:pPr>
            <w:r w:rsidRPr="00866216">
              <w:rPr>
                <w:rFonts w:ascii="Times New Roman" w:hAnsi="Times New Roman" w:cs="Times New Roman"/>
                <w:sz w:val="20"/>
                <w:szCs w:val="20"/>
                <w:lang w:val="en-US"/>
              </w:rPr>
              <w:t xml:space="preserve">Boudghene Stambouli A, Traversa E, (2002). Fuel cells, an alternative to standard sources of energy. Renewable and Sustainable Energy Reviews </w:t>
            </w:r>
            <w:r w:rsidRPr="00866216">
              <w:rPr>
                <w:rFonts w:ascii="Times New Roman" w:hAnsi="Times New Roman" w:cs="Times New Roman"/>
                <w:sz w:val="20"/>
                <w:szCs w:val="20"/>
              </w:rPr>
              <w:t>6 297–306</w:t>
            </w:r>
          </w:p>
        </w:tc>
      </w:tr>
      <w:tr w:rsidR="00580BCE" w:rsidRPr="00866216"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68</w:t>
            </w:r>
          </w:p>
        </w:tc>
        <w:tc>
          <w:tcPr>
            <w:tcW w:w="8505" w:type="dxa"/>
          </w:tcPr>
          <w:p w:rsidR="00580BCE" w:rsidRPr="00866216" w:rsidRDefault="00866216" w:rsidP="00866216">
            <w:pPr>
              <w:autoSpaceDE w:val="0"/>
              <w:autoSpaceDN w:val="0"/>
              <w:adjustRightInd w:val="0"/>
              <w:rPr>
                <w:rFonts w:ascii="Times New Roman" w:hAnsi="Times New Roman" w:cs="Times New Roman"/>
                <w:sz w:val="20"/>
                <w:szCs w:val="20"/>
                <w:lang w:val="en-US"/>
              </w:rPr>
            </w:pPr>
            <w:r w:rsidRPr="00866216">
              <w:rPr>
                <w:rFonts w:ascii="Times New Roman" w:hAnsi="Times New Roman" w:cs="Times New Roman"/>
                <w:sz w:val="20"/>
                <w:szCs w:val="20"/>
                <w:lang w:val="en-US"/>
              </w:rPr>
              <w:t xml:space="preserve">Acres G, (2001). Recent advances in fuel cell technology and its applications. </w:t>
            </w:r>
            <w:r w:rsidRPr="00866216">
              <w:rPr>
                <w:rFonts w:ascii="Times New Roman" w:hAnsi="Times New Roman" w:cs="Times New Roman"/>
                <w:sz w:val="20"/>
                <w:szCs w:val="20"/>
              </w:rPr>
              <w:t>Journal of Power Sources 100 60–66</w:t>
            </w:r>
          </w:p>
        </w:tc>
      </w:tr>
      <w:tr w:rsidR="00580BCE" w:rsidRPr="00866216"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69</w:t>
            </w:r>
          </w:p>
        </w:tc>
        <w:tc>
          <w:tcPr>
            <w:tcW w:w="8505" w:type="dxa"/>
          </w:tcPr>
          <w:p w:rsidR="00866216" w:rsidRPr="00866216" w:rsidRDefault="00866216" w:rsidP="00866216">
            <w:pPr>
              <w:autoSpaceDE w:val="0"/>
              <w:autoSpaceDN w:val="0"/>
              <w:adjustRightInd w:val="0"/>
              <w:rPr>
                <w:rFonts w:ascii="Times New Roman" w:hAnsi="Times New Roman" w:cs="Times New Roman"/>
                <w:sz w:val="20"/>
                <w:szCs w:val="20"/>
                <w:lang w:val="en-US"/>
              </w:rPr>
            </w:pPr>
            <w:r w:rsidRPr="00866216">
              <w:rPr>
                <w:rFonts w:ascii="Times New Roman" w:hAnsi="Times New Roman" w:cs="Times New Roman"/>
                <w:color w:val="000000"/>
                <w:sz w:val="20"/>
                <w:szCs w:val="20"/>
                <w:lang w:val="en-US"/>
              </w:rPr>
              <w:t xml:space="preserve">Williams M, Strakey J, Singhal S, (2004). </w:t>
            </w:r>
            <w:r w:rsidRPr="00866216">
              <w:rPr>
                <w:rFonts w:ascii="Times New Roman" w:hAnsi="Times New Roman" w:cs="Times New Roman"/>
                <w:sz w:val="20"/>
                <w:szCs w:val="20"/>
                <w:lang w:val="en-US"/>
              </w:rPr>
              <w:t>U.S. distributed generation fuel cell program. Journal of Power Sources 131 79–85</w:t>
            </w:r>
          </w:p>
          <w:p w:rsidR="00580BCE" w:rsidRPr="00866216" w:rsidRDefault="00866216" w:rsidP="00E872C6">
            <w:pPr>
              <w:widowControl w:val="0"/>
              <w:autoSpaceDE w:val="0"/>
              <w:autoSpaceDN w:val="0"/>
              <w:adjustRightInd w:val="0"/>
              <w:jc w:val="both"/>
              <w:rPr>
                <w:rFonts w:ascii="Times New Roman" w:hAnsi="Times New Roman" w:cs="Times New Roman"/>
                <w:color w:val="FF0000"/>
                <w:sz w:val="20"/>
                <w:szCs w:val="20"/>
                <w:lang w:val="en-US"/>
              </w:rPr>
            </w:pPr>
            <w:r w:rsidRPr="00866216">
              <w:rPr>
                <w:rFonts w:ascii="Times New Roman" w:hAnsi="Times New Roman" w:cs="Times New Roman"/>
                <w:color w:val="FF0000"/>
                <w:sz w:val="20"/>
                <w:szCs w:val="20"/>
                <w:lang w:val="en-US"/>
              </w:rPr>
              <w:t>SOFC MCFC and economics</w:t>
            </w:r>
          </w:p>
        </w:tc>
      </w:tr>
      <w:tr w:rsidR="00580BCE" w:rsidRPr="001E3A30" w:rsidTr="00E872C6">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r w:rsidRPr="001E3A30">
              <w:rPr>
                <w:rFonts w:ascii="Times New Roman" w:hAnsi="Times New Roman" w:cs="Times New Roman"/>
                <w:color w:val="000000" w:themeColor="text1"/>
                <w:sz w:val="20"/>
                <w:szCs w:val="20"/>
                <w:lang w:val="en-US"/>
              </w:rPr>
              <w:t>70</w:t>
            </w:r>
          </w:p>
        </w:tc>
        <w:tc>
          <w:tcPr>
            <w:tcW w:w="8505" w:type="dxa"/>
          </w:tcPr>
          <w:p w:rsidR="00580BCE" w:rsidRPr="001E3A30" w:rsidRDefault="00580BCE"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r>
      <w:tr w:rsidR="00866216" w:rsidRPr="001E3A30" w:rsidTr="00E872C6">
        <w:tc>
          <w:tcPr>
            <w:tcW w:w="709"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71</w:t>
            </w:r>
          </w:p>
        </w:tc>
        <w:tc>
          <w:tcPr>
            <w:tcW w:w="8505"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r>
      <w:tr w:rsidR="00866216" w:rsidRPr="001E3A30" w:rsidTr="00E872C6">
        <w:tc>
          <w:tcPr>
            <w:tcW w:w="709"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c>
          <w:tcPr>
            <w:tcW w:w="709"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72</w:t>
            </w:r>
          </w:p>
        </w:tc>
        <w:tc>
          <w:tcPr>
            <w:tcW w:w="8505" w:type="dxa"/>
          </w:tcPr>
          <w:p w:rsidR="00866216" w:rsidRPr="001E3A30" w:rsidRDefault="00866216" w:rsidP="00E872C6">
            <w:pPr>
              <w:widowControl w:val="0"/>
              <w:autoSpaceDE w:val="0"/>
              <w:autoSpaceDN w:val="0"/>
              <w:adjustRightInd w:val="0"/>
              <w:jc w:val="both"/>
              <w:rPr>
                <w:rFonts w:ascii="Times New Roman" w:hAnsi="Times New Roman" w:cs="Times New Roman"/>
                <w:color w:val="000000" w:themeColor="text1"/>
                <w:sz w:val="20"/>
                <w:szCs w:val="20"/>
                <w:lang w:val="en-US"/>
              </w:rPr>
            </w:pPr>
          </w:p>
        </w:tc>
      </w:tr>
    </w:tbl>
    <w:p w:rsidR="00937D7C" w:rsidRPr="008F23CC" w:rsidRDefault="00937D7C" w:rsidP="003066A0">
      <w:pPr>
        <w:widowControl w:val="0"/>
        <w:autoSpaceDE w:val="0"/>
        <w:autoSpaceDN w:val="0"/>
        <w:adjustRightInd w:val="0"/>
        <w:spacing w:after="0" w:line="240" w:lineRule="auto"/>
        <w:jc w:val="both"/>
        <w:rPr>
          <w:rFonts w:ascii="Times New Roman" w:hAnsi="Times New Roman" w:cs="Times New Roman"/>
          <w:sz w:val="20"/>
          <w:szCs w:val="20"/>
          <w:lang w:val="en-US"/>
        </w:rPr>
      </w:pPr>
    </w:p>
    <w:sectPr w:rsidR="00937D7C" w:rsidRPr="008F23CC" w:rsidSect="005A685C">
      <w:footerReference w:type="default" r:id="rId2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DB3" w:rsidRDefault="00E60DB3" w:rsidP="00FF075F">
      <w:pPr>
        <w:spacing w:after="0" w:line="240" w:lineRule="auto"/>
      </w:pPr>
      <w:r>
        <w:separator/>
      </w:r>
    </w:p>
  </w:endnote>
  <w:endnote w:type="continuationSeparator" w:id="1">
    <w:p w:rsidR="00E60DB3" w:rsidRDefault="00E60DB3" w:rsidP="00FF0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Math">
    <w:panose1 w:val="02040503050406030204"/>
    <w:charset w:val="A1"/>
    <w:family w:val="roman"/>
    <w:pitch w:val="variable"/>
    <w:sig w:usb0="A00002EF" w:usb1="420020EB"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dvPS6F00">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126"/>
      <w:docPartObj>
        <w:docPartGallery w:val="Page Numbers (Bottom of Page)"/>
        <w:docPartUnique/>
      </w:docPartObj>
    </w:sdtPr>
    <w:sdtContent>
      <w:p w:rsidR="00CD2F7F" w:rsidRDefault="00CD2F7F">
        <w:pPr>
          <w:pStyle w:val="aa"/>
          <w:jc w:val="center"/>
        </w:pPr>
        <w:fldSimple w:instr=" PAGE   \* MERGEFORMAT ">
          <w:r w:rsidR="00714BAF">
            <w:rPr>
              <w:noProof/>
            </w:rPr>
            <w:t>19</w:t>
          </w:r>
        </w:fldSimple>
      </w:p>
    </w:sdtContent>
  </w:sdt>
  <w:p w:rsidR="00CD2F7F" w:rsidRDefault="00CD2F7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DB3" w:rsidRDefault="00E60DB3" w:rsidP="00FF075F">
      <w:pPr>
        <w:spacing w:after="0" w:line="240" w:lineRule="auto"/>
      </w:pPr>
      <w:r>
        <w:separator/>
      </w:r>
    </w:p>
  </w:footnote>
  <w:footnote w:type="continuationSeparator" w:id="1">
    <w:p w:rsidR="00E60DB3" w:rsidRDefault="00E60DB3" w:rsidP="00FF075F">
      <w:pPr>
        <w:spacing w:after="0" w:line="240" w:lineRule="auto"/>
      </w:pPr>
      <w:r>
        <w:continuationSeparator/>
      </w:r>
    </w:p>
  </w:footnote>
  <w:footnote w:id="2">
    <w:p w:rsidR="00CD2F7F" w:rsidRPr="00FF075F" w:rsidRDefault="00CD2F7F">
      <w:pPr>
        <w:pStyle w:val="a7"/>
        <w:rPr>
          <w:rFonts w:ascii="Times New Roman" w:hAnsi="Times New Roman" w:cs="Times New Roman"/>
          <w:sz w:val="18"/>
          <w:szCs w:val="18"/>
          <w:lang w:val="en-US"/>
        </w:rPr>
      </w:pPr>
      <w:r w:rsidRPr="00FF075F">
        <w:rPr>
          <w:rStyle w:val="a8"/>
          <w:rFonts w:ascii="Times New Roman" w:hAnsi="Times New Roman" w:cs="Times New Roman"/>
          <w:sz w:val="18"/>
          <w:szCs w:val="18"/>
        </w:rPr>
        <w:footnoteRef/>
      </w:r>
      <w:r w:rsidRPr="00FF075F">
        <w:rPr>
          <w:rFonts w:ascii="Times New Roman" w:hAnsi="Times New Roman" w:cs="Times New Roman"/>
          <w:sz w:val="18"/>
          <w:szCs w:val="18"/>
          <w:lang w:val="en-US"/>
        </w:rPr>
        <w:t xml:space="preserve"> In all cases required, the exchange rate was 1 € = 1.4 $.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7268E"/>
    <w:multiLevelType w:val="hybridMultilevel"/>
    <w:tmpl w:val="A58A266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F9D362A"/>
    <w:multiLevelType w:val="hybridMultilevel"/>
    <w:tmpl w:val="413A9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72C15BB"/>
    <w:multiLevelType w:val="hybridMultilevel"/>
    <w:tmpl w:val="94EA63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8744A15"/>
    <w:multiLevelType w:val="hybridMultilevel"/>
    <w:tmpl w:val="B5B443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AA737A0"/>
    <w:multiLevelType w:val="hybridMultilevel"/>
    <w:tmpl w:val="918C5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33F66DE"/>
    <w:multiLevelType w:val="hybridMultilevel"/>
    <w:tmpl w:val="B20A98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217687"/>
    <w:multiLevelType w:val="hybridMultilevel"/>
    <w:tmpl w:val="E81AE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DC03AF1"/>
    <w:multiLevelType w:val="hybridMultilevel"/>
    <w:tmpl w:val="C3EA5AC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04A224F"/>
    <w:multiLevelType w:val="hybridMultilevel"/>
    <w:tmpl w:val="C1C6F9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C515E71"/>
    <w:multiLevelType w:val="hybridMultilevel"/>
    <w:tmpl w:val="9B56BD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1"/>
  </w:num>
  <w:num w:numId="6">
    <w:abstractNumId w:val="7"/>
  </w:num>
  <w:num w:numId="7">
    <w:abstractNumId w:val="9"/>
  </w:num>
  <w:num w:numId="8">
    <w:abstractNumId w:val="0"/>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7D27"/>
    <w:rsid w:val="00001C38"/>
    <w:rsid w:val="00007BAC"/>
    <w:rsid w:val="0001156F"/>
    <w:rsid w:val="00012880"/>
    <w:rsid w:val="00013392"/>
    <w:rsid w:val="00014F31"/>
    <w:rsid w:val="000153F6"/>
    <w:rsid w:val="000224E5"/>
    <w:rsid w:val="00027C2F"/>
    <w:rsid w:val="0003102F"/>
    <w:rsid w:val="00035FE6"/>
    <w:rsid w:val="00037D5E"/>
    <w:rsid w:val="00041D0D"/>
    <w:rsid w:val="0004427A"/>
    <w:rsid w:val="00045A1D"/>
    <w:rsid w:val="00045E9B"/>
    <w:rsid w:val="00061606"/>
    <w:rsid w:val="000738E5"/>
    <w:rsid w:val="00073EF5"/>
    <w:rsid w:val="00075931"/>
    <w:rsid w:val="000759DC"/>
    <w:rsid w:val="00077138"/>
    <w:rsid w:val="00080EAA"/>
    <w:rsid w:val="000864BA"/>
    <w:rsid w:val="00091CA5"/>
    <w:rsid w:val="00097C56"/>
    <w:rsid w:val="000A1391"/>
    <w:rsid w:val="000A19C7"/>
    <w:rsid w:val="000A7FE9"/>
    <w:rsid w:val="000B0DF1"/>
    <w:rsid w:val="000B3623"/>
    <w:rsid w:val="000B396D"/>
    <w:rsid w:val="000B6567"/>
    <w:rsid w:val="000B6E1B"/>
    <w:rsid w:val="000C152D"/>
    <w:rsid w:val="000D2992"/>
    <w:rsid w:val="000D4B2E"/>
    <w:rsid w:val="000D78BC"/>
    <w:rsid w:val="000E2FD9"/>
    <w:rsid w:val="000E4A8A"/>
    <w:rsid w:val="000E6C2E"/>
    <w:rsid w:val="000E6CB2"/>
    <w:rsid w:val="000E78A5"/>
    <w:rsid w:val="000F0493"/>
    <w:rsid w:val="000F1405"/>
    <w:rsid w:val="000F2168"/>
    <w:rsid w:val="000F4F60"/>
    <w:rsid w:val="001036C5"/>
    <w:rsid w:val="00106076"/>
    <w:rsid w:val="00111611"/>
    <w:rsid w:val="00113BE5"/>
    <w:rsid w:val="00114A1D"/>
    <w:rsid w:val="001177DF"/>
    <w:rsid w:val="00121AA1"/>
    <w:rsid w:val="00122CB2"/>
    <w:rsid w:val="00134BF9"/>
    <w:rsid w:val="00134DFB"/>
    <w:rsid w:val="001359E1"/>
    <w:rsid w:val="00136809"/>
    <w:rsid w:val="00143E4C"/>
    <w:rsid w:val="0015090A"/>
    <w:rsid w:val="00162C5A"/>
    <w:rsid w:val="00165147"/>
    <w:rsid w:val="0016625B"/>
    <w:rsid w:val="00166838"/>
    <w:rsid w:val="001710B0"/>
    <w:rsid w:val="00183EEC"/>
    <w:rsid w:val="0018434B"/>
    <w:rsid w:val="0018517F"/>
    <w:rsid w:val="00191E0F"/>
    <w:rsid w:val="001944C0"/>
    <w:rsid w:val="0019556C"/>
    <w:rsid w:val="00196051"/>
    <w:rsid w:val="001A1C67"/>
    <w:rsid w:val="001B2DA7"/>
    <w:rsid w:val="001B3A29"/>
    <w:rsid w:val="001B7C9A"/>
    <w:rsid w:val="001C3F28"/>
    <w:rsid w:val="001C58EC"/>
    <w:rsid w:val="001C7BFF"/>
    <w:rsid w:val="001D05B4"/>
    <w:rsid w:val="001D7799"/>
    <w:rsid w:val="001E1A82"/>
    <w:rsid w:val="001E3293"/>
    <w:rsid w:val="001E4A3B"/>
    <w:rsid w:val="001E61C1"/>
    <w:rsid w:val="001F091A"/>
    <w:rsid w:val="00204912"/>
    <w:rsid w:val="00207194"/>
    <w:rsid w:val="00216A86"/>
    <w:rsid w:val="00227DD3"/>
    <w:rsid w:val="00233225"/>
    <w:rsid w:val="0023368A"/>
    <w:rsid w:val="00234CFB"/>
    <w:rsid w:val="00234FED"/>
    <w:rsid w:val="0023649A"/>
    <w:rsid w:val="00236AEE"/>
    <w:rsid w:val="0024029C"/>
    <w:rsid w:val="00242273"/>
    <w:rsid w:val="002470FD"/>
    <w:rsid w:val="00252418"/>
    <w:rsid w:val="00254C83"/>
    <w:rsid w:val="002647F4"/>
    <w:rsid w:val="00264997"/>
    <w:rsid w:val="00272FC0"/>
    <w:rsid w:val="002736DF"/>
    <w:rsid w:val="00275B0A"/>
    <w:rsid w:val="002829F4"/>
    <w:rsid w:val="00283E76"/>
    <w:rsid w:val="00292CD1"/>
    <w:rsid w:val="00293C0E"/>
    <w:rsid w:val="002950A3"/>
    <w:rsid w:val="002A02E7"/>
    <w:rsid w:val="002A2092"/>
    <w:rsid w:val="002A236C"/>
    <w:rsid w:val="002A28C2"/>
    <w:rsid w:val="002A3E02"/>
    <w:rsid w:val="002A589B"/>
    <w:rsid w:val="002B0307"/>
    <w:rsid w:val="002B0B50"/>
    <w:rsid w:val="002B159A"/>
    <w:rsid w:val="002B4B15"/>
    <w:rsid w:val="002B56C3"/>
    <w:rsid w:val="002C11EC"/>
    <w:rsid w:val="002C1616"/>
    <w:rsid w:val="002C3E77"/>
    <w:rsid w:val="002C486A"/>
    <w:rsid w:val="002D1BA8"/>
    <w:rsid w:val="002D3FD6"/>
    <w:rsid w:val="002D5261"/>
    <w:rsid w:val="002D5BDA"/>
    <w:rsid w:val="002E4C39"/>
    <w:rsid w:val="002E4C8F"/>
    <w:rsid w:val="002F7229"/>
    <w:rsid w:val="002F7B99"/>
    <w:rsid w:val="0030357E"/>
    <w:rsid w:val="003066A0"/>
    <w:rsid w:val="00310F97"/>
    <w:rsid w:val="00314FD9"/>
    <w:rsid w:val="003153B7"/>
    <w:rsid w:val="00316BBD"/>
    <w:rsid w:val="00323F92"/>
    <w:rsid w:val="00335399"/>
    <w:rsid w:val="0033540C"/>
    <w:rsid w:val="00335B9C"/>
    <w:rsid w:val="0033650D"/>
    <w:rsid w:val="00344EC2"/>
    <w:rsid w:val="0034625E"/>
    <w:rsid w:val="00351D4D"/>
    <w:rsid w:val="00364ED1"/>
    <w:rsid w:val="00365F47"/>
    <w:rsid w:val="00366DFF"/>
    <w:rsid w:val="00372782"/>
    <w:rsid w:val="003802CC"/>
    <w:rsid w:val="00384DF3"/>
    <w:rsid w:val="00387A70"/>
    <w:rsid w:val="003A0E16"/>
    <w:rsid w:val="003A1940"/>
    <w:rsid w:val="003A412C"/>
    <w:rsid w:val="003A52A4"/>
    <w:rsid w:val="003A5CA4"/>
    <w:rsid w:val="003A70B7"/>
    <w:rsid w:val="003B124A"/>
    <w:rsid w:val="003B15E9"/>
    <w:rsid w:val="003B4779"/>
    <w:rsid w:val="003B5E57"/>
    <w:rsid w:val="003B6736"/>
    <w:rsid w:val="003C0CAC"/>
    <w:rsid w:val="003C2664"/>
    <w:rsid w:val="003C393B"/>
    <w:rsid w:val="003C590A"/>
    <w:rsid w:val="003D3EC3"/>
    <w:rsid w:val="003D6DF5"/>
    <w:rsid w:val="003D71E9"/>
    <w:rsid w:val="003E298D"/>
    <w:rsid w:val="003E5344"/>
    <w:rsid w:val="003F0781"/>
    <w:rsid w:val="003F40D0"/>
    <w:rsid w:val="003F4C72"/>
    <w:rsid w:val="003F5AC6"/>
    <w:rsid w:val="003F653F"/>
    <w:rsid w:val="00401453"/>
    <w:rsid w:val="00403EEE"/>
    <w:rsid w:val="0040597E"/>
    <w:rsid w:val="00405DD7"/>
    <w:rsid w:val="0041134A"/>
    <w:rsid w:val="00413F60"/>
    <w:rsid w:val="00417C0A"/>
    <w:rsid w:val="00422B59"/>
    <w:rsid w:val="00430C97"/>
    <w:rsid w:val="0043169C"/>
    <w:rsid w:val="0043464B"/>
    <w:rsid w:val="00434D7A"/>
    <w:rsid w:val="00436711"/>
    <w:rsid w:val="00437FF2"/>
    <w:rsid w:val="004423B7"/>
    <w:rsid w:val="00461D4C"/>
    <w:rsid w:val="00461D8F"/>
    <w:rsid w:val="00466056"/>
    <w:rsid w:val="00474131"/>
    <w:rsid w:val="00476435"/>
    <w:rsid w:val="0048212C"/>
    <w:rsid w:val="00486203"/>
    <w:rsid w:val="00486EEB"/>
    <w:rsid w:val="00491FD7"/>
    <w:rsid w:val="004955A6"/>
    <w:rsid w:val="00497294"/>
    <w:rsid w:val="004A10EA"/>
    <w:rsid w:val="004A1353"/>
    <w:rsid w:val="004A2022"/>
    <w:rsid w:val="004B5C42"/>
    <w:rsid w:val="004C3676"/>
    <w:rsid w:val="004C3DAB"/>
    <w:rsid w:val="004D1239"/>
    <w:rsid w:val="004D38D2"/>
    <w:rsid w:val="004D6FEC"/>
    <w:rsid w:val="004E23A1"/>
    <w:rsid w:val="004F785F"/>
    <w:rsid w:val="005021CC"/>
    <w:rsid w:val="00510E85"/>
    <w:rsid w:val="00510FDC"/>
    <w:rsid w:val="005155C6"/>
    <w:rsid w:val="0051759B"/>
    <w:rsid w:val="0052073B"/>
    <w:rsid w:val="00522106"/>
    <w:rsid w:val="00525125"/>
    <w:rsid w:val="00527260"/>
    <w:rsid w:val="0052738A"/>
    <w:rsid w:val="005275C0"/>
    <w:rsid w:val="00535099"/>
    <w:rsid w:val="00537BA8"/>
    <w:rsid w:val="00544412"/>
    <w:rsid w:val="005448D6"/>
    <w:rsid w:val="00551411"/>
    <w:rsid w:val="005542AB"/>
    <w:rsid w:val="00555465"/>
    <w:rsid w:val="00562367"/>
    <w:rsid w:val="0056492A"/>
    <w:rsid w:val="00571880"/>
    <w:rsid w:val="00574C45"/>
    <w:rsid w:val="00574F67"/>
    <w:rsid w:val="005768CD"/>
    <w:rsid w:val="00580BCE"/>
    <w:rsid w:val="00591B95"/>
    <w:rsid w:val="0059272C"/>
    <w:rsid w:val="00592E0C"/>
    <w:rsid w:val="00593309"/>
    <w:rsid w:val="005A0509"/>
    <w:rsid w:val="005A5DBB"/>
    <w:rsid w:val="005A66F9"/>
    <w:rsid w:val="005A685C"/>
    <w:rsid w:val="005A7604"/>
    <w:rsid w:val="005B57F8"/>
    <w:rsid w:val="005B58D3"/>
    <w:rsid w:val="005C1E77"/>
    <w:rsid w:val="005C253E"/>
    <w:rsid w:val="005C6934"/>
    <w:rsid w:val="005C7139"/>
    <w:rsid w:val="005D0641"/>
    <w:rsid w:val="005D1490"/>
    <w:rsid w:val="005D1BA2"/>
    <w:rsid w:val="005D271D"/>
    <w:rsid w:val="005D58E0"/>
    <w:rsid w:val="005D5D04"/>
    <w:rsid w:val="005D6654"/>
    <w:rsid w:val="005E3708"/>
    <w:rsid w:val="005E5273"/>
    <w:rsid w:val="005F0129"/>
    <w:rsid w:val="005F0F89"/>
    <w:rsid w:val="005F7B42"/>
    <w:rsid w:val="00600DB7"/>
    <w:rsid w:val="006019DC"/>
    <w:rsid w:val="00603B8F"/>
    <w:rsid w:val="00607808"/>
    <w:rsid w:val="006142F7"/>
    <w:rsid w:val="00615A04"/>
    <w:rsid w:val="00633E2D"/>
    <w:rsid w:val="0063594F"/>
    <w:rsid w:val="00635D3B"/>
    <w:rsid w:val="00635D91"/>
    <w:rsid w:val="00641244"/>
    <w:rsid w:val="0064249C"/>
    <w:rsid w:val="00650E47"/>
    <w:rsid w:val="0065179E"/>
    <w:rsid w:val="006551A8"/>
    <w:rsid w:val="00655A5B"/>
    <w:rsid w:val="00655E62"/>
    <w:rsid w:val="00660402"/>
    <w:rsid w:val="00665378"/>
    <w:rsid w:val="00665DF1"/>
    <w:rsid w:val="00676673"/>
    <w:rsid w:val="00681545"/>
    <w:rsid w:val="00683C17"/>
    <w:rsid w:val="006A3496"/>
    <w:rsid w:val="006A5B96"/>
    <w:rsid w:val="006A5C44"/>
    <w:rsid w:val="006A7399"/>
    <w:rsid w:val="006B0CBE"/>
    <w:rsid w:val="006B32AB"/>
    <w:rsid w:val="006B5A53"/>
    <w:rsid w:val="006B5A7C"/>
    <w:rsid w:val="006B673C"/>
    <w:rsid w:val="006C17A0"/>
    <w:rsid w:val="006C3B50"/>
    <w:rsid w:val="006C51B7"/>
    <w:rsid w:val="006C707D"/>
    <w:rsid w:val="006D4AF2"/>
    <w:rsid w:val="006D5456"/>
    <w:rsid w:val="006E114D"/>
    <w:rsid w:val="006E342E"/>
    <w:rsid w:val="006E6986"/>
    <w:rsid w:val="006E7F50"/>
    <w:rsid w:val="006F46CA"/>
    <w:rsid w:val="007012C8"/>
    <w:rsid w:val="007026A6"/>
    <w:rsid w:val="00703DA2"/>
    <w:rsid w:val="007110A8"/>
    <w:rsid w:val="00712A6B"/>
    <w:rsid w:val="00713E6C"/>
    <w:rsid w:val="00714BAF"/>
    <w:rsid w:val="00714EB2"/>
    <w:rsid w:val="007215FC"/>
    <w:rsid w:val="0072397D"/>
    <w:rsid w:val="007318C1"/>
    <w:rsid w:val="0073344B"/>
    <w:rsid w:val="00737062"/>
    <w:rsid w:val="007403BC"/>
    <w:rsid w:val="007435D1"/>
    <w:rsid w:val="00747BD4"/>
    <w:rsid w:val="00753459"/>
    <w:rsid w:val="00753D4B"/>
    <w:rsid w:val="0075504B"/>
    <w:rsid w:val="007608D4"/>
    <w:rsid w:val="00761CEB"/>
    <w:rsid w:val="00763523"/>
    <w:rsid w:val="00764023"/>
    <w:rsid w:val="007668B1"/>
    <w:rsid w:val="00775603"/>
    <w:rsid w:val="007763DA"/>
    <w:rsid w:val="00791172"/>
    <w:rsid w:val="007914AD"/>
    <w:rsid w:val="00791924"/>
    <w:rsid w:val="007A3EC8"/>
    <w:rsid w:val="007B3234"/>
    <w:rsid w:val="007C1A0A"/>
    <w:rsid w:val="007C39AF"/>
    <w:rsid w:val="007C750A"/>
    <w:rsid w:val="007D01FD"/>
    <w:rsid w:val="007D125D"/>
    <w:rsid w:val="007D4BE9"/>
    <w:rsid w:val="007E1E02"/>
    <w:rsid w:val="007F53D8"/>
    <w:rsid w:val="007F779C"/>
    <w:rsid w:val="007F77F3"/>
    <w:rsid w:val="008007F5"/>
    <w:rsid w:val="008111A1"/>
    <w:rsid w:val="008123A8"/>
    <w:rsid w:val="0082209D"/>
    <w:rsid w:val="008222B0"/>
    <w:rsid w:val="0082488E"/>
    <w:rsid w:val="00825D8D"/>
    <w:rsid w:val="0082646D"/>
    <w:rsid w:val="008354BA"/>
    <w:rsid w:val="008359FE"/>
    <w:rsid w:val="0084180B"/>
    <w:rsid w:val="008422D6"/>
    <w:rsid w:val="00850528"/>
    <w:rsid w:val="00852C6F"/>
    <w:rsid w:val="00854248"/>
    <w:rsid w:val="00864DB2"/>
    <w:rsid w:val="00866216"/>
    <w:rsid w:val="00870563"/>
    <w:rsid w:val="00870AB8"/>
    <w:rsid w:val="00871EE8"/>
    <w:rsid w:val="008768AD"/>
    <w:rsid w:val="008771D4"/>
    <w:rsid w:val="00883099"/>
    <w:rsid w:val="00884AE8"/>
    <w:rsid w:val="00893035"/>
    <w:rsid w:val="008969F0"/>
    <w:rsid w:val="008A0E5B"/>
    <w:rsid w:val="008A2265"/>
    <w:rsid w:val="008A23A8"/>
    <w:rsid w:val="008A6EC2"/>
    <w:rsid w:val="008B27E1"/>
    <w:rsid w:val="008B4C9A"/>
    <w:rsid w:val="008B6368"/>
    <w:rsid w:val="008B71CE"/>
    <w:rsid w:val="008B7354"/>
    <w:rsid w:val="008B7FD1"/>
    <w:rsid w:val="008C2A43"/>
    <w:rsid w:val="008C32FE"/>
    <w:rsid w:val="008C4692"/>
    <w:rsid w:val="008C572A"/>
    <w:rsid w:val="008D159B"/>
    <w:rsid w:val="008D17C9"/>
    <w:rsid w:val="008D2712"/>
    <w:rsid w:val="008E13B4"/>
    <w:rsid w:val="008E3C62"/>
    <w:rsid w:val="008E6A47"/>
    <w:rsid w:val="008E7AA0"/>
    <w:rsid w:val="008F23CC"/>
    <w:rsid w:val="00906A80"/>
    <w:rsid w:val="00910ACE"/>
    <w:rsid w:val="00913813"/>
    <w:rsid w:val="009230BC"/>
    <w:rsid w:val="00925C8C"/>
    <w:rsid w:val="00925D3B"/>
    <w:rsid w:val="00935D16"/>
    <w:rsid w:val="009360A8"/>
    <w:rsid w:val="00936ADD"/>
    <w:rsid w:val="00937B9A"/>
    <w:rsid w:val="00937D7C"/>
    <w:rsid w:val="009437BF"/>
    <w:rsid w:val="009517D7"/>
    <w:rsid w:val="00953266"/>
    <w:rsid w:val="00954D11"/>
    <w:rsid w:val="0096655B"/>
    <w:rsid w:val="00966602"/>
    <w:rsid w:val="00974CF2"/>
    <w:rsid w:val="00977ED6"/>
    <w:rsid w:val="0098029F"/>
    <w:rsid w:val="00980C12"/>
    <w:rsid w:val="00982DCA"/>
    <w:rsid w:val="009833CA"/>
    <w:rsid w:val="00983730"/>
    <w:rsid w:val="009923F8"/>
    <w:rsid w:val="00994458"/>
    <w:rsid w:val="00995A71"/>
    <w:rsid w:val="00997515"/>
    <w:rsid w:val="009977F1"/>
    <w:rsid w:val="009A2C00"/>
    <w:rsid w:val="009A3E07"/>
    <w:rsid w:val="009C5C12"/>
    <w:rsid w:val="009D095D"/>
    <w:rsid w:val="009D1EEA"/>
    <w:rsid w:val="009E06E8"/>
    <w:rsid w:val="009E166A"/>
    <w:rsid w:val="009E30E7"/>
    <w:rsid w:val="009F0D51"/>
    <w:rsid w:val="009F1287"/>
    <w:rsid w:val="009F1D2A"/>
    <w:rsid w:val="009F2290"/>
    <w:rsid w:val="009F2B36"/>
    <w:rsid w:val="009F4E3C"/>
    <w:rsid w:val="009F6EF9"/>
    <w:rsid w:val="009F7728"/>
    <w:rsid w:val="00A00B5C"/>
    <w:rsid w:val="00A1070B"/>
    <w:rsid w:val="00A10A30"/>
    <w:rsid w:val="00A11891"/>
    <w:rsid w:val="00A13F10"/>
    <w:rsid w:val="00A14A49"/>
    <w:rsid w:val="00A17431"/>
    <w:rsid w:val="00A22354"/>
    <w:rsid w:val="00A24121"/>
    <w:rsid w:val="00A24BCD"/>
    <w:rsid w:val="00A30C0D"/>
    <w:rsid w:val="00A3331A"/>
    <w:rsid w:val="00A338AC"/>
    <w:rsid w:val="00A3514A"/>
    <w:rsid w:val="00A41801"/>
    <w:rsid w:val="00A42532"/>
    <w:rsid w:val="00A43355"/>
    <w:rsid w:val="00A45BB2"/>
    <w:rsid w:val="00A461BC"/>
    <w:rsid w:val="00A5484C"/>
    <w:rsid w:val="00A55B60"/>
    <w:rsid w:val="00A56562"/>
    <w:rsid w:val="00A5732B"/>
    <w:rsid w:val="00A60A90"/>
    <w:rsid w:val="00A613E9"/>
    <w:rsid w:val="00A629E7"/>
    <w:rsid w:val="00A719EC"/>
    <w:rsid w:val="00A75EEB"/>
    <w:rsid w:val="00A766DE"/>
    <w:rsid w:val="00A84144"/>
    <w:rsid w:val="00A84914"/>
    <w:rsid w:val="00A8621B"/>
    <w:rsid w:val="00A868BD"/>
    <w:rsid w:val="00A972FE"/>
    <w:rsid w:val="00A97CCC"/>
    <w:rsid w:val="00AA5E90"/>
    <w:rsid w:val="00AA5EB0"/>
    <w:rsid w:val="00AA63FA"/>
    <w:rsid w:val="00AB496E"/>
    <w:rsid w:val="00AC0E63"/>
    <w:rsid w:val="00AC37DC"/>
    <w:rsid w:val="00AC46EA"/>
    <w:rsid w:val="00AD0E9C"/>
    <w:rsid w:val="00AD19B9"/>
    <w:rsid w:val="00AD2008"/>
    <w:rsid w:val="00AD23E9"/>
    <w:rsid w:val="00AD6D92"/>
    <w:rsid w:val="00AE142F"/>
    <w:rsid w:val="00AF0A5C"/>
    <w:rsid w:val="00AF28B9"/>
    <w:rsid w:val="00B17539"/>
    <w:rsid w:val="00B22308"/>
    <w:rsid w:val="00B22642"/>
    <w:rsid w:val="00B3024E"/>
    <w:rsid w:val="00B322C5"/>
    <w:rsid w:val="00B3319B"/>
    <w:rsid w:val="00B343FB"/>
    <w:rsid w:val="00B34932"/>
    <w:rsid w:val="00B4029D"/>
    <w:rsid w:val="00B40316"/>
    <w:rsid w:val="00B46BEA"/>
    <w:rsid w:val="00B508D5"/>
    <w:rsid w:val="00B5213C"/>
    <w:rsid w:val="00B61937"/>
    <w:rsid w:val="00B6267B"/>
    <w:rsid w:val="00B70DE1"/>
    <w:rsid w:val="00B71FED"/>
    <w:rsid w:val="00B74C6C"/>
    <w:rsid w:val="00B74F2A"/>
    <w:rsid w:val="00B76092"/>
    <w:rsid w:val="00B82E0C"/>
    <w:rsid w:val="00B861ED"/>
    <w:rsid w:val="00B86410"/>
    <w:rsid w:val="00B87163"/>
    <w:rsid w:val="00B9184E"/>
    <w:rsid w:val="00B97AF3"/>
    <w:rsid w:val="00BA00E4"/>
    <w:rsid w:val="00BA1C82"/>
    <w:rsid w:val="00BA4AF4"/>
    <w:rsid w:val="00BA4B8B"/>
    <w:rsid w:val="00BA568D"/>
    <w:rsid w:val="00BA79EC"/>
    <w:rsid w:val="00BB28DF"/>
    <w:rsid w:val="00BC1483"/>
    <w:rsid w:val="00BD197F"/>
    <w:rsid w:val="00BD1D52"/>
    <w:rsid w:val="00BD4C4D"/>
    <w:rsid w:val="00BD4D8C"/>
    <w:rsid w:val="00BD4F35"/>
    <w:rsid w:val="00BE2549"/>
    <w:rsid w:val="00BE3B0A"/>
    <w:rsid w:val="00BE3BED"/>
    <w:rsid w:val="00BF07AE"/>
    <w:rsid w:val="00BF28BA"/>
    <w:rsid w:val="00BF726D"/>
    <w:rsid w:val="00C0075D"/>
    <w:rsid w:val="00C00841"/>
    <w:rsid w:val="00C02FC5"/>
    <w:rsid w:val="00C04E04"/>
    <w:rsid w:val="00C06A96"/>
    <w:rsid w:val="00C07D7D"/>
    <w:rsid w:val="00C10FD5"/>
    <w:rsid w:val="00C148D3"/>
    <w:rsid w:val="00C15A3C"/>
    <w:rsid w:val="00C16BB1"/>
    <w:rsid w:val="00C271C3"/>
    <w:rsid w:val="00C27D27"/>
    <w:rsid w:val="00C27F1B"/>
    <w:rsid w:val="00C335E2"/>
    <w:rsid w:val="00C33618"/>
    <w:rsid w:val="00C37308"/>
    <w:rsid w:val="00C43173"/>
    <w:rsid w:val="00C43740"/>
    <w:rsid w:val="00C45830"/>
    <w:rsid w:val="00C4585B"/>
    <w:rsid w:val="00C52F65"/>
    <w:rsid w:val="00C576F4"/>
    <w:rsid w:val="00C61E50"/>
    <w:rsid w:val="00C63E9A"/>
    <w:rsid w:val="00C664B2"/>
    <w:rsid w:val="00C83594"/>
    <w:rsid w:val="00C8529A"/>
    <w:rsid w:val="00C875CA"/>
    <w:rsid w:val="00C91F07"/>
    <w:rsid w:val="00CB1727"/>
    <w:rsid w:val="00CB180C"/>
    <w:rsid w:val="00CB2A8F"/>
    <w:rsid w:val="00CB4D96"/>
    <w:rsid w:val="00CB623D"/>
    <w:rsid w:val="00CB6BEF"/>
    <w:rsid w:val="00CC3E92"/>
    <w:rsid w:val="00CD1318"/>
    <w:rsid w:val="00CD1B03"/>
    <w:rsid w:val="00CD2F7F"/>
    <w:rsid w:val="00CD43C5"/>
    <w:rsid w:val="00CD71F9"/>
    <w:rsid w:val="00CD78A5"/>
    <w:rsid w:val="00CE0409"/>
    <w:rsid w:val="00CE11FE"/>
    <w:rsid w:val="00CE2EC6"/>
    <w:rsid w:val="00CE3197"/>
    <w:rsid w:val="00CE68D1"/>
    <w:rsid w:val="00CF4214"/>
    <w:rsid w:val="00D04169"/>
    <w:rsid w:val="00D06EEC"/>
    <w:rsid w:val="00D11295"/>
    <w:rsid w:val="00D147AA"/>
    <w:rsid w:val="00D21E36"/>
    <w:rsid w:val="00D2481E"/>
    <w:rsid w:val="00D24F9F"/>
    <w:rsid w:val="00D3026D"/>
    <w:rsid w:val="00D30E72"/>
    <w:rsid w:val="00D30F89"/>
    <w:rsid w:val="00D32F82"/>
    <w:rsid w:val="00D345E5"/>
    <w:rsid w:val="00D35842"/>
    <w:rsid w:val="00D40C39"/>
    <w:rsid w:val="00D6083B"/>
    <w:rsid w:val="00D615DE"/>
    <w:rsid w:val="00D6310A"/>
    <w:rsid w:val="00D6597F"/>
    <w:rsid w:val="00D713AE"/>
    <w:rsid w:val="00D748A5"/>
    <w:rsid w:val="00D773E0"/>
    <w:rsid w:val="00D87C2E"/>
    <w:rsid w:val="00D9209E"/>
    <w:rsid w:val="00D9248C"/>
    <w:rsid w:val="00D926BD"/>
    <w:rsid w:val="00DA25B6"/>
    <w:rsid w:val="00DA4AD4"/>
    <w:rsid w:val="00DA5C68"/>
    <w:rsid w:val="00DB1F82"/>
    <w:rsid w:val="00DB7439"/>
    <w:rsid w:val="00DC4746"/>
    <w:rsid w:val="00DC4A89"/>
    <w:rsid w:val="00DC67EB"/>
    <w:rsid w:val="00DC7938"/>
    <w:rsid w:val="00DC7BE0"/>
    <w:rsid w:val="00DD218D"/>
    <w:rsid w:val="00DD3197"/>
    <w:rsid w:val="00DE06AD"/>
    <w:rsid w:val="00DE2690"/>
    <w:rsid w:val="00DE27D9"/>
    <w:rsid w:val="00DF00A6"/>
    <w:rsid w:val="00DF3535"/>
    <w:rsid w:val="00E00B45"/>
    <w:rsid w:val="00E038F0"/>
    <w:rsid w:val="00E11410"/>
    <w:rsid w:val="00E12107"/>
    <w:rsid w:val="00E1212A"/>
    <w:rsid w:val="00E1665B"/>
    <w:rsid w:val="00E20A9D"/>
    <w:rsid w:val="00E219B7"/>
    <w:rsid w:val="00E308C3"/>
    <w:rsid w:val="00E31848"/>
    <w:rsid w:val="00E363BC"/>
    <w:rsid w:val="00E40C28"/>
    <w:rsid w:val="00E44F19"/>
    <w:rsid w:val="00E46820"/>
    <w:rsid w:val="00E47FD1"/>
    <w:rsid w:val="00E5035E"/>
    <w:rsid w:val="00E51970"/>
    <w:rsid w:val="00E54F82"/>
    <w:rsid w:val="00E57A3A"/>
    <w:rsid w:val="00E60DB3"/>
    <w:rsid w:val="00E62177"/>
    <w:rsid w:val="00E62CFC"/>
    <w:rsid w:val="00E63E15"/>
    <w:rsid w:val="00E64D07"/>
    <w:rsid w:val="00E70006"/>
    <w:rsid w:val="00E70701"/>
    <w:rsid w:val="00E7143E"/>
    <w:rsid w:val="00E7730D"/>
    <w:rsid w:val="00E818C9"/>
    <w:rsid w:val="00E824DB"/>
    <w:rsid w:val="00E82E42"/>
    <w:rsid w:val="00E83FC7"/>
    <w:rsid w:val="00E871F0"/>
    <w:rsid w:val="00E872C6"/>
    <w:rsid w:val="00E93829"/>
    <w:rsid w:val="00E9788F"/>
    <w:rsid w:val="00E9796E"/>
    <w:rsid w:val="00E97B18"/>
    <w:rsid w:val="00EA3B21"/>
    <w:rsid w:val="00EA3CC6"/>
    <w:rsid w:val="00EB0418"/>
    <w:rsid w:val="00EB20FE"/>
    <w:rsid w:val="00EB28E4"/>
    <w:rsid w:val="00EC1BB8"/>
    <w:rsid w:val="00EC3ACF"/>
    <w:rsid w:val="00ED1DC4"/>
    <w:rsid w:val="00F0029E"/>
    <w:rsid w:val="00F05849"/>
    <w:rsid w:val="00F1148A"/>
    <w:rsid w:val="00F21104"/>
    <w:rsid w:val="00F2243C"/>
    <w:rsid w:val="00F2587B"/>
    <w:rsid w:val="00F26572"/>
    <w:rsid w:val="00F31509"/>
    <w:rsid w:val="00F34F01"/>
    <w:rsid w:val="00F36B66"/>
    <w:rsid w:val="00F41A00"/>
    <w:rsid w:val="00F50D60"/>
    <w:rsid w:val="00F51EEB"/>
    <w:rsid w:val="00F54066"/>
    <w:rsid w:val="00F630F4"/>
    <w:rsid w:val="00F63162"/>
    <w:rsid w:val="00F648C1"/>
    <w:rsid w:val="00F64FEE"/>
    <w:rsid w:val="00F802D6"/>
    <w:rsid w:val="00F84350"/>
    <w:rsid w:val="00F85E0A"/>
    <w:rsid w:val="00F90DF1"/>
    <w:rsid w:val="00F94179"/>
    <w:rsid w:val="00F9427D"/>
    <w:rsid w:val="00F94CD9"/>
    <w:rsid w:val="00FA4FEC"/>
    <w:rsid w:val="00FA77FB"/>
    <w:rsid w:val="00FB1AA9"/>
    <w:rsid w:val="00FB33AE"/>
    <w:rsid w:val="00FB5621"/>
    <w:rsid w:val="00FC27BB"/>
    <w:rsid w:val="00FC3926"/>
    <w:rsid w:val="00FD3C71"/>
    <w:rsid w:val="00FE0092"/>
    <w:rsid w:val="00FE736D"/>
    <w:rsid w:val="00FF075F"/>
    <w:rsid w:val="00FF13B4"/>
    <w:rsid w:val="00FF1708"/>
    <w:rsid w:val="00FF38CD"/>
    <w:rsid w:val="00FF42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colormru v:ext="edit" colors="#ff9,#ffc"/>
      <o:colormenu v:ext="edit" fillcolor="none" strokecolor="none"/>
    </o:shapedefaults>
    <o:shapelayout v:ext="edit">
      <o:idmap v:ext="edit" data="1"/>
      <o:regrouptable v:ext="edit">
        <o:entry new="1" old="0"/>
        <o:entry new="2" old="1"/>
        <o:entry new="3" old="0"/>
        <o:entry new="4" old="3"/>
        <o:entry new="5" old="0"/>
        <o:entry new="6" old="5"/>
        <o:entry new="7" old="0"/>
        <o:entry new="8" old="7"/>
        <o:entry new="9" old="0"/>
        <o:entry new="10" old="9"/>
        <o:entry new="11" old="9"/>
        <o:entry new="12" old="11"/>
        <o:entry new="13" old="12"/>
        <o:entry new="14" old="12"/>
        <o:entry new="1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6551A8"/>
    <w:pPr>
      <w:ind w:left="720"/>
      <w:contextualSpacing/>
    </w:pPr>
  </w:style>
  <w:style w:type="paragraph" w:styleId="a5">
    <w:name w:val="Balloon Text"/>
    <w:basedOn w:val="a"/>
    <w:link w:val="Char"/>
    <w:uiPriority w:val="99"/>
    <w:semiHidden/>
    <w:unhideWhenUsed/>
    <w:rsid w:val="009F2B3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9F2B36"/>
    <w:rPr>
      <w:rFonts w:ascii="Tahoma" w:hAnsi="Tahoma" w:cs="Tahoma"/>
      <w:sz w:val="16"/>
      <w:szCs w:val="16"/>
    </w:rPr>
  </w:style>
  <w:style w:type="character" w:styleId="a6">
    <w:name w:val="Placeholder Text"/>
    <w:basedOn w:val="a0"/>
    <w:uiPriority w:val="99"/>
    <w:semiHidden/>
    <w:rsid w:val="00AF28B9"/>
    <w:rPr>
      <w:color w:val="808080"/>
    </w:rPr>
  </w:style>
  <w:style w:type="paragraph" w:customStyle="1" w:styleId="Default">
    <w:name w:val="Default"/>
    <w:rsid w:val="000759D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footnote text"/>
    <w:basedOn w:val="a"/>
    <w:link w:val="Char0"/>
    <w:uiPriority w:val="99"/>
    <w:semiHidden/>
    <w:unhideWhenUsed/>
    <w:rsid w:val="00FF075F"/>
    <w:pPr>
      <w:spacing w:after="0" w:line="240" w:lineRule="auto"/>
    </w:pPr>
    <w:rPr>
      <w:sz w:val="20"/>
      <w:szCs w:val="20"/>
    </w:rPr>
  </w:style>
  <w:style w:type="character" w:customStyle="1" w:styleId="Char0">
    <w:name w:val="Κείμενο υποσημείωσης Char"/>
    <w:basedOn w:val="a0"/>
    <w:link w:val="a7"/>
    <w:uiPriority w:val="99"/>
    <w:semiHidden/>
    <w:rsid w:val="00FF075F"/>
    <w:rPr>
      <w:sz w:val="20"/>
      <w:szCs w:val="20"/>
    </w:rPr>
  </w:style>
  <w:style w:type="character" w:styleId="a8">
    <w:name w:val="footnote reference"/>
    <w:basedOn w:val="a0"/>
    <w:uiPriority w:val="99"/>
    <w:semiHidden/>
    <w:unhideWhenUsed/>
    <w:rsid w:val="00FF075F"/>
    <w:rPr>
      <w:vertAlign w:val="superscript"/>
    </w:rPr>
  </w:style>
  <w:style w:type="paragraph" w:styleId="a9">
    <w:name w:val="header"/>
    <w:basedOn w:val="a"/>
    <w:link w:val="Char1"/>
    <w:uiPriority w:val="99"/>
    <w:semiHidden/>
    <w:unhideWhenUsed/>
    <w:rsid w:val="003C393B"/>
    <w:pPr>
      <w:tabs>
        <w:tab w:val="center" w:pos="4153"/>
        <w:tab w:val="right" w:pos="8306"/>
      </w:tabs>
      <w:spacing w:after="0" w:line="240" w:lineRule="auto"/>
    </w:pPr>
  </w:style>
  <w:style w:type="character" w:customStyle="1" w:styleId="Char1">
    <w:name w:val="Κεφαλίδα Char"/>
    <w:basedOn w:val="a0"/>
    <w:link w:val="a9"/>
    <w:uiPriority w:val="99"/>
    <w:semiHidden/>
    <w:rsid w:val="003C393B"/>
  </w:style>
  <w:style w:type="paragraph" w:styleId="aa">
    <w:name w:val="footer"/>
    <w:basedOn w:val="a"/>
    <w:link w:val="Char2"/>
    <w:uiPriority w:val="99"/>
    <w:unhideWhenUsed/>
    <w:rsid w:val="003C393B"/>
    <w:pPr>
      <w:tabs>
        <w:tab w:val="center" w:pos="4153"/>
        <w:tab w:val="right" w:pos="8306"/>
      </w:tabs>
      <w:spacing w:after="0" w:line="240" w:lineRule="auto"/>
    </w:pPr>
  </w:style>
  <w:style w:type="character" w:customStyle="1" w:styleId="Char2">
    <w:name w:val="Υποσέλιδο Char"/>
    <w:basedOn w:val="a0"/>
    <w:link w:val="aa"/>
    <w:uiPriority w:val="99"/>
    <w:rsid w:val="003C393B"/>
  </w:style>
</w:styles>
</file>

<file path=word/webSettings.xml><?xml version="1.0" encoding="utf-8"?>
<w:webSettings xmlns:r="http://schemas.openxmlformats.org/officeDocument/2006/relationships" xmlns:w="http://schemas.openxmlformats.org/wordprocessingml/2006/main">
  <w:divs>
    <w:div w:id="69735732">
      <w:bodyDiv w:val="1"/>
      <w:marLeft w:val="0"/>
      <w:marRight w:val="0"/>
      <w:marTop w:val="0"/>
      <w:marBottom w:val="0"/>
      <w:divBdr>
        <w:top w:val="none" w:sz="0" w:space="0" w:color="auto"/>
        <w:left w:val="none" w:sz="0" w:space="0" w:color="auto"/>
        <w:bottom w:val="none" w:sz="0" w:space="0" w:color="auto"/>
        <w:right w:val="none" w:sz="0" w:space="0" w:color="auto"/>
      </w:divBdr>
    </w:div>
    <w:div w:id="93870175">
      <w:bodyDiv w:val="1"/>
      <w:marLeft w:val="0"/>
      <w:marRight w:val="0"/>
      <w:marTop w:val="0"/>
      <w:marBottom w:val="0"/>
      <w:divBdr>
        <w:top w:val="none" w:sz="0" w:space="0" w:color="auto"/>
        <w:left w:val="none" w:sz="0" w:space="0" w:color="auto"/>
        <w:bottom w:val="none" w:sz="0" w:space="0" w:color="auto"/>
        <w:right w:val="none" w:sz="0" w:space="0" w:color="auto"/>
      </w:divBdr>
    </w:div>
    <w:div w:id="951135009">
      <w:bodyDiv w:val="1"/>
      <w:marLeft w:val="0"/>
      <w:marRight w:val="0"/>
      <w:marTop w:val="0"/>
      <w:marBottom w:val="0"/>
      <w:divBdr>
        <w:top w:val="none" w:sz="0" w:space="0" w:color="auto"/>
        <w:left w:val="none" w:sz="0" w:space="0" w:color="auto"/>
        <w:bottom w:val="none" w:sz="0" w:space="0" w:color="auto"/>
        <w:right w:val="none" w:sz="0" w:space="0" w:color="auto"/>
      </w:divBdr>
    </w:div>
    <w:div w:id="1542746818">
      <w:bodyDiv w:val="1"/>
      <w:marLeft w:val="0"/>
      <w:marRight w:val="0"/>
      <w:marTop w:val="0"/>
      <w:marBottom w:val="0"/>
      <w:divBdr>
        <w:top w:val="none" w:sz="0" w:space="0" w:color="auto"/>
        <w:left w:val="none" w:sz="0" w:space="0" w:color="auto"/>
        <w:bottom w:val="none" w:sz="0" w:space="0" w:color="auto"/>
        <w:right w:val="none" w:sz="0" w:space="0" w:color="auto"/>
      </w:divBdr>
    </w:div>
    <w:div w:id="1617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6FA53-C8D8-4211-B101-DB0BBDFA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22</Pages>
  <Words>12850</Words>
  <Characters>69396</Characters>
  <Application>Microsoft Office Word</Application>
  <DocSecurity>0</DocSecurity>
  <Lines>578</Lines>
  <Paragraphs>164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costas</dc:creator>
  <cp:lastModifiedBy>costas</cp:lastModifiedBy>
  <cp:revision>36</cp:revision>
  <dcterms:created xsi:type="dcterms:W3CDTF">2008-01-05T13:18:00Z</dcterms:created>
  <dcterms:modified xsi:type="dcterms:W3CDTF">2008-04-23T10:29:00Z</dcterms:modified>
</cp:coreProperties>
</file>