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80"/>
      </w:tblGrid>
      <w:tr w:rsidR="00F25055" w:rsidRPr="00A85A94" w:rsidTr="00E32D97"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25055" w:rsidRPr="00A85A94" w:rsidRDefault="00E32D97" w:rsidP="000A7F10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Όνομα:</w:t>
            </w:r>
            <w:r w:rsidR="00F25055" w:rsidRPr="00A85A94">
              <w:rPr>
                <w:rFonts w:asciiTheme="minorHAnsi" w:hAnsiTheme="minorHAnsi"/>
                <w:sz w:val="22"/>
                <w:szCs w:val="22"/>
              </w:rPr>
              <w:tab/>
            </w:r>
            <w:r w:rsidR="003C3265" w:rsidRPr="00A85A94">
              <w:rPr>
                <w:rFonts w:asciiTheme="minorHAnsi" w:hAnsiTheme="minorHAnsi"/>
                <w:sz w:val="22"/>
                <w:szCs w:val="22"/>
              </w:rPr>
              <w:t>ΑΠΕ</w:t>
            </w:r>
          </w:p>
          <w:p w:rsidR="004321E0" w:rsidRPr="00A85A94" w:rsidRDefault="00E32D97" w:rsidP="00E32D9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Επώνυμο:                                                                               Αρ. Μητρώου:</w:t>
            </w:r>
            <w:r w:rsidR="00A85A94">
              <w:rPr>
                <w:rFonts w:asciiTheme="minorHAnsi" w:hAnsiTheme="minorHAnsi"/>
                <w:sz w:val="22"/>
                <w:szCs w:val="22"/>
              </w:rPr>
              <w:t>24</w:t>
            </w:r>
            <w:r w:rsidR="00027A97" w:rsidRPr="00A85A94">
              <w:rPr>
                <w:rFonts w:asciiTheme="minorHAnsi" w:hAnsiTheme="minorHAnsi"/>
                <w:sz w:val="22"/>
                <w:szCs w:val="22"/>
              </w:rPr>
              <w:t>Ιουνίου</w:t>
            </w:r>
            <w:r w:rsidR="00EA5C76" w:rsidRPr="00A85A94">
              <w:rPr>
                <w:rFonts w:asciiTheme="minorHAnsi" w:hAnsiTheme="minorHAnsi"/>
                <w:sz w:val="22"/>
                <w:szCs w:val="22"/>
              </w:rPr>
              <w:t xml:space="preserve"> 201</w:t>
            </w:r>
            <w:r w:rsidR="00A85A94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</w:tr>
    </w:tbl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bookmarkStart w:id="0" w:name="_GoBack"/>
      <w:bookmarkEnd w:id="0"/>
      <w:r w:rsidRPr="00A85A94">
        <w:rPr>
          <w:rFonts w:asciiTheme="minorHAnsi" w:hAnsiTheme="minorHAnsi"/>
          <w:sz w:val="22"/>
          <w:szCs w:val="22"/>
        </w:rPr>
        <w:t>ΘΕΜΑ 1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0023A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0023A7" w:rsidRPr="000023A7" w:rsidRDefault="000023A7" w:rsidP="000023A7">
      <w:pPr>
        <w:ind w:left="-851" w:right="-9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Σε μέση απόσταση 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100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χλμ από τη θέση όπου πρόκειται να εγκατασταθεί μονάδα συμπαραγωγής από βιομάζα, υπάρχουν διαθέσιμα 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200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χιλ στρ για την παραγωγή αγριαγκινάρας.  Τα ετήσια καλλιεργητικά κόστη για την παραγωγή αγριαγκινάρας είναι 20 €/στρ, η ετήσια αποπληρωμή της αρχικής εγκατάστασης της φυτείας 15 €/στρ και το επιθυμητό περιθώριο κέρδους από τον παραγωγό 50 €/στρ. Αν η μέση στρεμματική απόδοση της αγριαγκινάρας στην περιοχή αναμένεται να είναι 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1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>ξ.τν/στρ και η σύσταση της φυσικής βιομάζας:</w:t>
      </w:r>
    </w:p>
    <w:p w:rsidR="000023A7" w:rsidRPr="000023A7" w:rsidRDefault="000023A7" w:rsidP="000023A7">
      <w:pPr>
        <w:ind w:left="-851" w:right="-9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023A7" w:rsidRPr="000023A7" w:rsidRDefault="000023A7" w:rsidP="000023A7">
      <w:pPr>
        <w:ind w:left="-131" w:right="-908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23A7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C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51</w:t>
      </w:r>
      <w:proofErr w:type="gramStart"/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,0</w:t>
      </w:r>
      <w:proofErr w:type="gramEnd"/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%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>Τέφρα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>3 %</w:t>
      </w:r>
    </w:p>
    <w:p w:rsidR="000023A7" w:rsidRPr="000023A7" w:rsidRDefault="000023A7" w:rsidP="000023A7">
      <w:pPr>
        <w:ind w:left="-131" w:right="-908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>Η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6,5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%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>Υγρασία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10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%</w:t>
      </w:r>
    </w:p>
    <w:p w:rsidR="000023A7" w:rsidRPr="000023A7" w:rsidRDefault="000023A7" w:rsidP="000023A7">
      <w:pPr>
        <w:ind w:left="-131" w:right="-908" w:firstLine="851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>Ο</w:t>
      </w:r>
      <w:r w:rsidRPr="000023A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42,5 %</w:t>
      </w:r>
    </w:p>
    <w:p w:rsidR="000023A7" w:rsidRPr="000023A7" w:rsidRDefault="000023A7" w:rsidP="000023A7">
      <w:pPr>
        <w:ind w:left="-851" w:right="-908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005911" w:rsidRPr="00A85A94" w:rsidRDefault="00710738" w:rsidP="000023A7">
      <w:pPr>
        <w:ind w:left="-851" w:right="-9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Να συμπληρωθεί ο παρακάτω Πίνακας</w:t>
      </w:r>
      <w:r w:rsidR="000023A7"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Για τη μεταφορά βιομάζας αγριαγκινάρας χρησιμοποιούνται “μπάλες” με φαινόμενη πυκνότητα 300 </w:t>
      </w:r>
      <w:r w:rsidR="000023A7" w:rsidRPr="00A85A9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kg</w:t>
      </w:r>
      <w:r w:rsidR="000023A7"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/</w:t>
      </w:r>
      <w:r w:rsidR="000023A7" w:rsidRPr="00A85A9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>m</w:t>
      </w:r>
      <w:r w:rsidR="000023A7"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3.</w:t>
      </w:r>
    </w:p>
    <w:p w:rsidR="002455B4" w:rsidRPr="00A85A94" w:rsidRDefault="002455B4" w:rsidP="000023A7">
      <w:pPr>
        <w:ind w:left="-851" w:right="-908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1106"/>
        <w:gridCol w:w="1729"/>
        <w:gridCol w:w="2126"/>
        <w:gridCol w:w="1052"/>
        <w:gridCol w:w="1783"/>
      </w:tblGrid>
      <w:tr w:rsidR="00A85A94" w:rsidRPr="00710738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ΑΘΔ 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ξετ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18996,25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kgξετ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Παραγωγή βιομάζας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1,15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βιομ.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/στρ</w:t>
            </w:r>
          </w:p>
        </w:tc>
      </w:tr>
      <w:tr w:rsidR="00A85A94" w:rsidRPr="00710738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ΑΘΔ βιομάζας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15956,85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Π</w:t>
            </w: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αραγωγή βιομάζας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229885,1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βιομ.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/έτος</w:t>
            </w:r>
          </w:p>
        </w:tc>
      </w:tr>
      <w:tr w:rsidR="00A85A94" w:rsidRPr="00710738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Περιεχόμενη Υγρασία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7,22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Φορτίο βιομάζας 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39,00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βιομ.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δρομολ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85A94" w:rsidRPr="00710738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Παραγόμενη Υγρασία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27,30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Κόστος μεταφοράς 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6,64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€/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A85A94" w:rsidRPr="00710738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Ολική υγρασία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34,52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κέρδος παραγωγού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43,50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€/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proofErr w:type="spellEnd"/>
          </w:p>
        </w:tc>
      </w:tr>
      <w:tr w:rsidR="00A85A94" w:rsidRPr="00710738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ΚΘΔ βιομάζας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14551,79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κόστη παραγωγού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30,45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€/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proofErr w:type="spellEnd"/>
          </w:p>
        </w:tc>
      </w:tr>
      <w:tr w:rsidR="00A85A94" w:rsidRPr="00A85A94" w:rsidTr="00497924">
        <w:trPr>
          <w:trHeight w:val="300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ΑΘΔ βιομάζας</w:t>
            </w:r>
          </w:p>
        </w:tc>
        <w:tc>
          <w:tcPr>
            <w:tcW w:w="1106" w:type="dxa"/>
            <w:shd w:val="clear" w:color="auto" w:fill="auto"/>
            <w:noWrap/>
            <w:vAlign w:val="bottom"/>
            <w:hideMark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4,43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MWh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Συνολικό κόστος </w:t>
            </w:r>
          </w:p>
        </w:tc>
        <w:tc>
          <w:tcPr>
            <w:tcW w:w="1052" w:type="dxa"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80,59</w:t>
            </w:r>
          </w:p>
        </w:tc>
        <w:tc>
          <w:tcPr>
            <w:tcW w:w="1783" w:type="dxa"/>
            <w:shd w:val="clear" w:color="auto" w:fill="D9D9D9" w:themeFill="background1" w:themeFillShade="D9"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€/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proofErr w:type="spellEnd"/>
          </w:p>
        </w:tc>
      </w:tr>
      <w:tr w:rsidR="00A85A94" w:rsidRPr="00710738" w:rsidTr="00497924">
        <w:trPr>
          <w:trHeight w:val="315"/>
        </w:trPr>
        <w:tc>
          <w:tcPr>
            <w:tcW w:w="2269" w:type="dxa"/>
            <w:shd w:val="clear" w:color="auto" w:fill="D9D9D9" w:themeFill="background1" w:themeFillShade="D9"/>
            <w:noWrap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ΚΘΔ βιομάζας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A85A94" w:rsidRPr="00710738" w:rsidRDefault="00A85A94" w:rsidP="00A85A94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10738">
              <w:rPr>
                <w:rFonts w:ascii="Calibri" w:hAnsi="Calibri"/>
                <w:color w:val="000000"/>
                <w:sz w:val="22"/>
                <w:szCs w:val="22"/>
              </w:rPr>
              <w:t>4,04</w:t>
            </w:r>
          </w:p>
        </w:tc>
        <w:tc>
          <w:tcPr>
            <w:tcW w:w="1729" w:type="dxa"/>
            <w:shd w:val="clear" w:color="auto" w:fill="D9D9D9" w:themeFill="background1" w:themeFillShade="D9"/>
            <w:noWrap/>
            <w:vAlign w:val="bottom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MWh</w:t>
            </w:r>
            <w:proofErr w:type="spellEnd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710738">
              <w:rPr>
                <w:rFonts w:ascii="Calibri" w:hAnsi="Calibri"/>
                <w:bCs/>
                <w:color w:val="000000"/>
                <w:sz w:val="22"/>
                <w:szCs w:val="22"/>
              </w:rPr>
              <w:t>tn</w:t>
            </w:r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βιομ</w:t>
            </w:r>
            <w:proofErr w:type="spellEnd"/>
            <w:r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D9D9D9" w:themeFill="background1" w:themeFillShade="D9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3" w:type="dxa"/>
            <w:shd w:val="clear" w:color="auto" w:fill="D9D9D9" w:themeFill="background1" w:themeFillShade="D9"/>
          </w:tcPr>
          <w:p w:rsidR="00A85A94" w:rsidRPr="00710738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</w:tbl>
    <w:p w:rsidR="00005911" w:rsidRPr="00A85A94" w:rsidRDefault="00005911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2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455B4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2455B4" w:rsidRPr="002455B4" w:rsidRDefault="002455B4" w:rsidP="002455B4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</w:pPr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 xml:space="preserve">Η βιομάζα της προηγούμενης άσκησης τροφοδοτείται σε καυστήρα τα </w:t>
      </w:r>
      <w:proofErr w:type="spellStart"/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>απαέρια</w:t>
      </w:r>
      <w:proofErr w:type="spellEnd"/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 xml:space="preserve"> του οποίου εξέρχονται σε θερμοκρασία </w:t>
      </w:r>
      <w:r w:rsidRPr="00A85A9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>137</w:t>
      </w:r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vertAlign w:val="superscript"/>
          <w:lang w:eastAsia="en-US"/>
        </w:rPr>
        <w:t>ο</w:t>
      </w:r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 xml:space="preserve">C και περιέχουν </w:t>
      </w:r>
      <w:r w:rsidRPr="00A85A9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>0,2</w:t>
      </w:r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 xml:space="preserve"> % CO, ενώ τροφοδοτείται </w:t>
      </w:r>
      <w:r w:rsidRPr="00A85A9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>50</w:t>
      </w:r>
      <w:r w:rsidRPr="002455B4">
        <w:rPr>
          <w:rFonts w:asciiTheme="minorHAnsi" w:eastAsiaTheme="minorHAnsi" w:hAnsiTheme="minorHAnsi" w:cs="Comic Sans MS"/>
          <w:bCs/>
          <w:color w:val="000000"/>
          <w:sz w:val="22"/>
          <w:szCs w:val="22"/>
          <w:lang w:eastAsia="en-US"/>
        </w:rPr>
        <w:t xml:space="preserve"> % περίσσεια αέρα. </w:t>
      </w:r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Ο καυστήρας χρησιμοποιείται για την υπερθέρμανση ατμού στους 500 </w:t>
      </w:r>
      <w:proofErr w:type="spellStart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vertAlign w:val="superscript"/>
          <w:lang w:eastAsia="en-US"/>
        </w:rPr>
        <w:t>o</w:t>
      </w:r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>C</w:t>
      </w:r>
      <w:proofErr w:type="spellEnd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 και την τροφοδοσία του σε ατμοστρόβιλο. </w:t>
      </w:r>
      <w:r w:rsidRPr="00A85A94">
        <w:rPr>
          <w:rFonts w:asciiTheme="minorHAnsi" w:eastAsiaTheme="minorHAnsi" w:hAnsiTheme="minorHAnsi" w:cs="Comic Sans MS"/>
          <w:color w:val="000000"/>
          <w:sz w:val="22"/>
          <w:szCs w:val="22"/>
          <w:lang w:val="en-US" w:eastAsia="en-US"/>
        </w:rPr>
        <w:t>H</w:t>
      </w:r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 πίεση λειτουργίας του τελευταίου είναι 10 </w:t>
      </w:r>
      <w:proofErr w:type="spellStart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>MPa</w:t>
      </w:r>
      <w:proofErr w:type="spellEnd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 και για τη συμπαραγωγή η θερμοκρασία στον συμπυκνωτή είναι </w:t>
      </w:r>
      <w:proofErr w:type="gramStart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80  </w:t>
      </w:r>
      <w:proofErr w:type="spellStart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vertAlign w:val="superscript"/>
          <w:lang w:eastAsia="en-US"/>
        </w:rPr>
        <w:t>o</w:t>
      </w:r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>C</w:t>
      </w:r>
      <w:proofErr w:type="spellEnd"/>
      <w:proofErr w:type="gramEnd"/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. Η απόδοση της αντλίας και του στροβίλου θεωρούνται ίσες με </w:t>
      </w:r>
      <w:r w:rsidRPr="00A85A9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>75</w:t>
      </w:r>
      <w:r w:rsidRPr="002455B4">
        <w:rPr>
          <w:rFonts w:asciiTheme="minorHAnsi" w:eastAsiaTheme="minorHAnsi" w:hAnsiTheme="minorHAnsi" w:cs="Comic Sans MS"/>
          <w:color w:val="000000"/>
          <w:sz w:val="22"/>
          <w:szCs w:val="22"/>
          <w:lang w:eastAsia="en-US"/>
        </w:rPr>
        <w:t xml:space="preserve"> %. 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Να συμπληρωθεί ο παρακάτω Πίνακας. </w:t>
      </w:r>
    </w:p>
    <w:p w:rsidR="00027A97" w:rsidRPr="00A85A94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1113"/>
        <w:gridCol w:w="1753"/>
        <w:gridCol w:w="2488"/>
        <w:gridCol w:w="1113"/>
        <w:gridCol w:w="1471"/>
      </w:tblGrid>
      <w:tr w:rsidR="00E170EE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ind w:right="-108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Θερμ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σχημ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ξετ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βιομάζας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7016,00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kgξετβιομ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Παραγόμενη θερμότητα</w:t>
            </w:r>
          </w:p>
        </w:tc>
        <w:tc>
          <w:tcPr>
            <w:tcW w:w="1113" w:type="dxa"/>
            <w:vAlign w:val="bottom"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16348,95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170EE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ind w:right="-108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Οξυγόνο για πλ. Καύση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39,56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O2/kgβιομ.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Απώλειες καυσαερίων</w:t>
            </w:r>
          </w:p>
        </w:tc>
        <w:tc>
          <w:tcPr>
            <w:tcW w:w="1113" w:type="dxa"/>
            <w:vAlign w:val="bottom"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1059,62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170EE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ind w:right="-108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Τροφοδοσία Οξυγόνου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59,34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O2/kgβιομ.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Λανθάνουσα θερμότητα</w:t>
            </w:r>
          </w:p>
        </w:tc>
        <w:tc>
          <w:tcPr>
            <w:tcW w:w="1113" w:type="dxa"/>
            <w:vAlign w:val="bottom"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1376,90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E170EE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ind w:right="-108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Τροφοδοσία Αζώτου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223,22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O2/kgβιομ.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Ωφέλιμη θερμότητα</w:t>
            </w:r>
          </w:p>
        </w:tc>
        <w:tc>
          <w:tcPr>
            <w:tcW w:w="1113" w:type="dxa"/>
            <w:vAlign w:val="bottom"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13912,42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97924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Απαέρια</w:t>
            </w:r>
            <w:proofErr w:type="spellEnd"/>
          </w:p>
        </w:tc>
        <w:tc>
          <w:tcPr>
            <w:tcW w:w="1113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E170EE" w:rsidRPr="002455B4" w:rsidRDefault="00E170EE" w:rsidP="00E170EE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2455B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36,35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ς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O2</w:t>
            </w:r>
          </w:p>
        </w:tc>
        <w:tc>
          <w:tcPr>
            <w:tcW w:w="1113" w:type="dxa"/>
            <w:vAlign w:val="bottom"/>
          </w:tcPr>
          <w:p w:rsidR="00A85A94" w:rsidRPr="002455B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20,09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497924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H2O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2455B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33,83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N2</w:t>
            </w:r>
          </w:p>
        </w:tc>
        <w:tc>
          <w:tcPr>
            <w:tcW w:w="1113" w:type="dxa"/>
            <w:vAlign w:val="bottom"/>
          </w:tcPr>
          <w:p w:rsidR="00A85A94" w:rsidRPr="002455B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223,22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497924" w:rsidRPr="00A85A94" w:rsidTr="00497924">
        <w:trPr>
          <w:trHeight w:val="300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</w:rPr>
              <w:t>CO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2455B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0,63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Συνολικά</w:t>
            </w:r>
          </w:p>
        </w:tc>
        <w:tc>
          <w:tcPr>
            <w:tcW w:w="1113" w:type="dxa"/>
            <w:vAlign w:val="bottom"/>
          </w:tcPr>
          <w:p w:rsidR="00A85A94" w:rsidRPr="002455B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314,12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2455B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2455B4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497924" w:rsidRPr="00A85A94" w:rsidTr="00497924">
        <w:trPr>
          <w:trHeight w:val="192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A85A94" w:rsidRPr="00A85A9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</w:rPr>
              <w:t>Ατμοστρόβιλος</w:t>
            </w:r>
          </w:p>
        </w:tc>
        <w:tc>
          <w:tcPr>
            <w:tcW w:w="1113" w:type="dxa"/>
            <w:shd w:val="clear" w:color="auto" w:fill="D9D9D9" w:themeFill="background1" w:themeFillShade="D9"/>
            <w:noWrap/>
            <w:vAlign w:val="bottom"/>
          </w:tcPr>
          <w:p w:rsidR="00A85A94" w:rsidRPr="00A85A94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</w:tcPr>
          <w:p w:rsidR="00A85A94" w:rsidRPr="00A85A9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</w:tcPr>
          <w:p w:rsidR="00A85A94" w:rsidRPr="00A85A9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</w:tcPr>
          <w:p w:rsidR="00A85A94" w:rsidRPr="00A85A9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shd w:val="clear" w:color="auto" w:fill="D9D9D9" w:themeFill="background1" w:themeFillShade="D9"/>
          </w:tcPr>
          <w:p w:rsidR="00A85A94" w:rsidRPr="00A85A94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497924" w:rsidRPr="00A85A94" w:rsidTr="00497924">
        <w:trPr>
          <w:trHeight w:val="192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h1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335,02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wouts</w:t>
            </w:r>
            <w:proofErr w:type="spellEnd"/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1.089,34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wins</w:t>
            </w:r>
            <w:proofErr w:type="spellEnd"/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12,35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817,01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16,46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h4</w:t>
            </w:r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2.558,09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h2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351,48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Wout</w:t>
            </w:r>
            <w:proofErr w:type="spellEnd"/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3.759,25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Ατμός στροβίλου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   4,60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Win</w:t>
            </w:r>
            <w:proofErr w:type="spellEnd"/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75,74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x4s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    0,85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Wel</w:t>
            </w:r>
            <w:proofErr w:type="spellEnd"/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3.683,50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h4s</w:t>
            </w:r>
          </w:p>
        </w:tc>
        <w:tc>
          <w:tcPr>
            <w:tcW w:w="1113" w:type="dxa"/>
            <w:shd w:val="clear" w:color="auto" w:fill="auto"/>
            <w:noWrap/>
            <w:vAlign w:val="bottom"/>
            <w:hideMark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2.285,76   </w:t>
            </w: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  <w:hideMark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Q</w:t>
            </w:r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10.228,92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497924" w:rsidRPr="00A85A94" w:rsidTr="00497924">
        <w:trPr>
          <w:trHeight w:val="315"/>
        </w:trPr>
        <w:tc>
          <w:tcPr>
            <w:tcW w:w="2552" w:type="dxa"/>
            <w:shd w:val="clear" w:color="auto" w:fill="D9D9D9" w:themeFill="background1" w:themeFillShade="D9"/>
            <w:noWrap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113" w:type="dxa"/>
            <w:shd w:val="clear" w:color="auto" w:fill="D9D9D9" w:themeFill="background1" w:themeFillShade="D9"/>
            <w:noWrap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3" w:type="dxa"/>
            <w:shd w:val="clear" w:color="auto" w:fill="D9D9D9" w:themeFill="background1" w:themeFillShade="D9"/>
            <w:noWrap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2488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nel</w:t>
            </w:r>
            <w:proofErr w:type="spellEnd"/>
          </w:p>
        </w:tc>
        <w:tc>
          <w:tcPr>
            <w:tcW w:w="1113" w:type="dxa"/>
            <w:vAlign w:val="bottom"/>
          </w:tcPr>
          <w:p w:rsidR="00A85A94" w:rsidRPr="00E170EE" w:rsidRDefault="00A85A94" w:rsidP="00A85A94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       24,31   </w:t>
            </w:r>
          </w:p>
        </w:tc>
        <w:tc>
          <w:tcPr>
            <w:tcW w:w="1471" w:type="dxa"/>
            <w:shd w:val="clear" w:color="auto" w:fill="D9D9D9" w:themeFill="background1" w:themeFillShade="D9"/>
            <w:vAlign w:val="bottom"/>
          </w:tcPr>
          <w:p w:rsidR="00A85A94" w:rsidRPr="00E170EE" w:rsidRDefault="00A85A94" w:rsidP="00A85A9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E170EE">
              <w:rPr>
                <w:rFonts w:ascii="Calibri" w:hAnsi="Calibri"/>
                <w:bCs/>
                <w:color w:val="000000"/>
                <w:sz w:val="22"/>
                <w:szCs w:val="22"/>
              </w:rPr>
              <w:t>%</w:t>
            </w:r>
          </w:p>
        </w:tc>
      </w:tr>
    </w:tbl>
    <w:p w:rsidR="002455B4" w:rsidRPr="00A85A94" w:rsidRDefault="002455B4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p w:rsidR="00027A97" w:rsidRPr="00A85A94" w:rsidRDefault="00027A97" w:rsidP="00027A97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  <w:r w:rsidRPr="00A85A94">
        <w:rPr>
          <w:rFonts w:asciiTheme="minorHAnsi" w:hAnsiTheme="minorHAnsi"/>
          <w:sz w:val="22"/>
          <w:szCs w:val="22"/>
        </w:rPr>
        <w:t>ΘΕΜΑ 3</w:t>
      </w:r>
      <w:r w:rsidRPr="00A85A94">
        <w:rPr>
          <w:rFonts w:asciiTheme="minorHAnsi" w:hAnsiTheme="minorHAnsi"/>
          <w:sz w:val="22"/>
          <w:szCs w:val="22"/>
          <w:vertAlign w:val="superscript"/>
        </w:rPr>
        <w:t>Ο</w:t>
      </w:r>
      <w:r w:rsidRPr="00A85A94">
        <w:rPr>
          <w:rFonts w:asciiTheme="minorHAnsi" w:hAnsiTheme="minorHAnsi"/>
          <w:sz w:val="22"/>
          <w:szCs w:val="22"/>
        </w:rPr>
        <w:t xml:space="preserve"> (</w:t>
      </w:r>
      <w:r w:rsidR="00256617" w:rsidRPr="00A85A94">
        <w:rPr>
          <w:rFonts w:asciiTheme="minorHAnsi" w:hAnsiTheme="minorHAnsi"/>
          <w:sz w:val="22"/>
          <w:szCs w:val="22"/>
        </w:rPr>
        <w:t>10</w:t>
      </w:r>
      <w:r w:rsidRPr="00A85A94">
        <w:rPr>
          <w:rFonts w:asciiTheme="minorHAnsi" w:hAnsiTheme="minorHAnsi"/>
          <w:sz w:val="22"/>
          <w:szCs w:val="22"/>
        </w:rPr>
        <w:t xml:space="preserve">  μονάδες)</w:t>
      </w:r>
    </w:p>
    <w:p w:rsidR="00027A97" w:rsidRPr="00A85A94" w:rsidRDefault="00027A97" w:rsidP="00027A97">
      <w:pPr>
        <w:ind w:left="-851" w:right="-908"/>
        <w:jc w:val="both"/>
        <w:rPr>
          <w:rFonts w:asciiTheme="minorHAnsi" w:hAnsiTheme="minorHAnsi"/>
          <w:sz w:val="22"/>
          <w:szCs w:val="22"/>
        </w:rPr>
      </w:pP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</w:pPr>
      <w:r w:rsidRPr="004E6073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Η βιομάζα των προηγούμενων θεμάτων τροφοδοτείται σε μονάδα αεριοποίησης βιομάζας. 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Δίνονται:</w:t>
      </w: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1440" w:right="-908" w:hanging="2291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Μέσο αεριοποίησης: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20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% του οξυγόνου για πλήρη καύση με τη μορφή καθαρού οξυγόνου (χωρίς άζωτο) και πολλαπλάσια ποσότητα υδρατμού (</w:t>
      </w:r>
      <w:r w:rsidR="007D545B" w:rsidRPr="007D545B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2 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US"/>
        </w:rPr>
        <w:t>mol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ατμού για κάθε 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val="en-US" w:eastAsia="en-US"/>
        </w:rPr>
        <w:t>mol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Ο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vertAlign w:val="subscript"/>
          <w:lang w:eastAsia="en-US"/>
        </w:rPr>
        <w:t>2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αεριοποίησης)</w:t>
      </w: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Έκταση αεριοποίησης: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</w:r>
      <w:r w:rsidRPr="00A85A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90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 % και σύσταση οργανικού μέρους υπολείμματος 90 % C, 1 % H, 9 % O</w:t>
      </w: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Παραγόμενο αέριο: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ab/>
        <w:t xml:space="preserve">Η2, CO και CO2και </w:t>
      </w:r>
      <w:r w:rsidRPr="00A85A94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5</w:t>
      </w: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% μεθάνιο </w:t>
      </w: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:rsidR="004E6073" w:rsidRPr="004E6073" w:rsidRDefault="004E6073" w:rsidP="004E6073">
      <w:pPr>
        <w:widowControl w:val="0"/>
        <w:autoSpaceDE w:val="0"/>
        <w:autoSpaceDN w:val="0"/>
        <w:adjustRightInd w:val="0"/>
        <w:ind w:left="-851" w:right="-908"/>
        <w:jc w:val="both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Για τον υπολογισμό της αισθητής θερμότητας του παραγόμενου αερίου να ληφθούν υπόψη μόνο οι δύο πρώτοι όροι των εξισώσεων των θερμοχωρητικοτήτων. Η θερμότητα από την καύση του υπολείμματος τροφοδοτείται χωρίς απώλειες στον </w:t>
      </w:r>
      <w:proofErr w:type="spellStart"/>
      <w:r w:rsidRPr="004E607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αεριοποιητή.</w:t>
      </w:r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>Να</w:t>
      </w:r>
      <w:proofErr w:type="spellEnd"/>
      <w:r w:rsidRPr="00A85A9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συμπληρωθεί ο παρακάτω Πίνακας.</w:t>
      </w:r>
    </w:p>
    <w:p w:rsidR="00027A97" w:rsidRPr="00A85A94" w:rsidRDefault="00027A97" w:rsidP="00027A97">
      <w:pPr>
        <w:ind w:left="-851" w:right="-908"/>
        <w:rPr>
          <w:rFonts w:asciiTheme="minorHAnsi" w:hAnsiTheme="minorHAnsi"/>
          <w:sz w:val="22"/>
          <w:szCs w:val="22"/>
        </w:rPr>
      </w:pPr>
    </w:p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84"/>
        <w:gridCol w:w="652"/>
        <w:gridCol w:w="329"/>
        <w:gridCol w:w="73"/>
        <w:gridCol w:w="603"/>
        <w:gridCol w:w="600"/>
        <w:gridCol w:w="379"/>
        <w:gridCol w:w="944"/>
        <w:gridCol w:w="1525"/>
        <w:gridCol w:w="1061"/>
        <w:gridCol w:w="1573"/>
      </w:tblGrid>
      <w:tr w:rsidR="00A85A94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A85A94" w:rsidRPr="004E6073" w:rsidRDefault="00A85A94" w:rsidP="004E607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μέσο αεριοποίησης</w:t>
            </w:r>
          </w:p>
        </w:tc>
        <w:tc>
          <w:tcPr>
            <w:tcW w:w="1005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A85A94" w:rsidRPr="004E6073" w:rsidRDefault="00A85A94" w:rsidP="004E607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A85A94" w:rsidRPr="004E6073" w:rsidRDefault="00A85A94" w:rsidP="004E607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A85A94" w:rsidRPr="00A85A94" w:rsidRDefault="00A85A94" w:rsidP="004E607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A85A94" w:rsidRPr="00A85A94" w:rsidRDefault="00A85A94" w:rsidP="004E607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A85A94" w:rsidRPr="00A85A94" w:rsidRDefault="00A85A94" w:rsidP="004E6073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Ο2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7,91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Η2Ο</w:t>
            </w:r>
          </w:p>
        </w:tc>
        <w:tc>
          <w:tcPr>
            <w:tcW w:w="1061" w:type="dxa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15,82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kgβιόμ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997DDA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Οργανικό Υπόλειμμα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0,07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Παραγόμενο Αέριο</w:t>
            </w:r>
          </w:p>
        </w:tc>
        <w:tc>
          <w:tcPr>
            <w:tcW w:w="1005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15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Η2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41,78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CH4</w:t>
            </w:r>
          </w:p>
        </w:tc>
        <w:tc>
          <w:tcPr>
            <w:tcW w:w="1061" w:type="dxa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3,94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997DDA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CO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5,75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CO2</w:t>
            </w:r>
          </w:p>
        </w:tc>
        <w:tc>
          <w:tcPr>
            <w:tcW w:w="1061" w:type="dxa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27,28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997DDA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Θερμότητα Αντίδρασης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389,93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ΚΘΔ 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υπολ</w:t>
            </w:r>
            <w:proofErr w:type="spellEnd"/>
            <w:r w:rsidRPr="00A85A94">
              <w:rPr>
                <w:rFonts w:ascii="Calibri" w:hAnsi="Calibri"/>
                <w:bCs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061" w:type="dxa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2122,47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997DDA" w:rsidRPr="00A85A94" w:rsidTr="00497924">
        <w:trPr>
          <w:trHeight w:val="300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Θερμότητα εξάτμισης νερού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870,11</w:t>
            </w: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525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497924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15"/>
        </w:trPr>
        <w:tc>
          <w:tcPr>
            <w:tcW w:w="2836" w:type="dxa"/>
            <w:gridSpan w:val="2"/>
            <w:shd w:val="clear" w:color="auto" w:fill="D9D9D9" w:themeFill="background1" w:themeFillShade="D9"/>
            <w:noWrap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5" w:type="dxa"/>
            <w:gridSpan w:val="3"/>
            <w:shd w:val="clear" w:color="auto" w:fill="D9D9D9" w:themeFill="background1" w:themeFillShade="D9"/>
            <w:noWrap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gridSpan w:val="3"/>
            <w:shd w:val="clear" w:color="auto" w:fill="D9D9D9" w:themeFill="background1" w:themeFillShade="D9"/>
            <w:noWrap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184" w:type="dxa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1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είσοδος</w:t>
            </w: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υπόλειμμα</w:t>
            </w:r>
          </w:p>
        </w:tc>
        <w:tc>
          <w:tcPr>
            <w:tcW w:w="1323" w:type="dxa"/>
            <w:gridSpan w:val="2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αέριο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184" w:type="dxa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C, 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81" w:type="dxa"/>
            <w:gridSpan w:val="2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36,98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0,00525</w:t>
            </w:r>
          </w:p>
        </w:tc>
        <w:tc>
          <w:tcPr>
            <w:tcW w:w="1323" w:type="dxa"/>
            <w:gridSpan w:val="2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36,970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184" w:type="dxa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Η, 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81" w:type="dxa"/>
            <w:gridSpan w:val="2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99,31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0,00070</w:t>
            </w:r>
          </w:p>
        </w:tc>
        <w:tc>
          <w:tcPr>
            <w:tcW w:w="1323" w:type="dxa"/>
            <w:gridSpan w:val="2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99,307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184" w:type="dxa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Ο, 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mol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81" w:type="dxa"/>
            <w:gridSpan w:val="2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60,31</w:t>
            </w:r>
          </w:p>
        </w:tc>
        <w:tc>
          <w:tcPr>
            <w:tcW w:w="1276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0,00039</w:t>
            </w:r>
          </w:p>
        </w:tc>
        <w:tc>
          <w:tcPr>
            <w:tcW w:w="1323" w:type="dxa"/>
            <w:gridSpan w:val="2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60,311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73" w:type="dxa"/>
            <w:shd w:val="clear" w:color="auto" w:fill="D9D9D9" w:themeFill="background1" w:themeFillShade="D9"/>
          </w:tcPr>
          <w:p w:rsidR="00997DDA" w:rsidRPr="00A85A94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</w:p>
        </w:tc>
      </w:tr>
      <w:tr w:rsidR="00997DDA" w:rsidRPr="00A85A94" w:rsidTr="00497924">
        <w:trPr>
          <w:trHeight w:val="300"/>
        </w:trPr>
        <w:tc>
          <w:tcPr>
            <w:tcW w:w="2184" w:type="dxa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ΚΘΔ αερίου</w:t>
            </w:r>
          </w:p>
        </w:tc>
        <w:tc>
          <w:tcPr>
            <w:tcW w:w="1054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14890,56</w:t>
            </w:r>
          </w:p>
        </w:tc>
        <w:tc>
          <w:tcPr>
            <w:tcW w:w="1582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469" w:type="dxa"/>
            <w:gridSpan w:val="2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ΚΘΔ αερίου</w:t>
            </w:r>
          </w:p>
        </w:tc>
        <w:tc>
          <w:tcPr>
            <w:tcW w:w="1061" w:type="dxa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8441,55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kJ/m3</w:t>
            </w:r>
          </w:p>
        </w:tc>
      </w:tr>
      <w:tr w:rsidR="00997DDA" w:rsidRPr="00A85A94" w:rsidTr="00497924">
        <w:trPr>
          <w:trHeight w:val="300"/>
        </w:trPr>
        <w:tc>
          <w:tcPr>
            <w:tcW w:w="2184" w:type="dxa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Όγκος αερίου</w:t>
            </w:r>
          </w:p>
        </w:tc>
        <w:tc>
          <w:tcPr>
            <w:tcW w:w="1054" w:type="dxa"/>
            <w:gridSpan w:val="3"/>
            <w:shd w:val="clear" w:color="auto" w:fill="auto"/>
            <w:noWrap/>
            <w:vAlign w:val="bottom"/>
            <w:hideMark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1,76</w:t>
            </w:r>
          </w:p>
        </w:tc>
        <w:tc>
          <w:tcPr>
            <w:tcW w:w="1582" w:type="dxa"/>
            <w:gridSpan w:val="3"/>
            <w:shd w:val="clear" w:color="auto" w:fill="D9D9D9" w:themeFill="background1" w:themeFillShade="D9"/>
            <w:noWrap/>
            <w:vAlign w:val="bottom"/>
            <w:hideMark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m3/kgβιομ.</w:t>
            </w:r>
          </w:p>
        </w:tc>
        <w:tc>
          <w:tcPr>
            <w:tcW w:w="2469" w:type="dxa"/>
            <w:gridSpan w:val="2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 xml:space="preserve">Αισθητή 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θερμ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 αερίου</w:t>
            </w:r>
          </w:p>
        </w:tc>
        <w:tc>
          <w:tcPr>
            <w:tcW w:w="1061" w:type="dxa"/>
            <w:vAlign w:val="bottom"/>
          </w:tcPr>
          <w:p w:rsidR="00997DDA" w:rsidRPr="004E6073" w:rsidRDefault="00997DDA" w:rsidP="00997DDA">
            <w:pPr>
              <w:jc w:val="right"/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3382,50</w:t>
            </w:r>
          </w:p>
        </w:tc>
        <w:tc>
          <w:tcPr>
            <w:tcW w:w="1573" w:type="dxa"/>
            <w:shd w:val="clear" w:color="auto" w:fill="D9D9D9" w:themeFill="background1" w:themeFillShade="D9"/>
            <w:vAlign w:val="bottom"/>
          </w:tcPr>
          <w:p w:rsidR="00997DDA" w:rsidRPr="004E6073" w:rsidRDefault="00997DDA" w:rsidP="00997DDA">
            <w:pPr>
              <w:rPr>
                <w:rFonts w:ascii="Calibri" w:hAnsi="Calibri"/>
                <w:bCs/>
                <w:color w:val="000000"/>
                <w:sz w:val="22"/>
                <w:szCs w:val="22"/>
              </w:rPr>
            </w:pP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kJ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kgβιομ</w:t>
            </w:r>
            <w:proofErr w:type="spellEnd"/>
            <w:r w:rsidRPr="004E6073">
              <w:rPr>
                <w:rFonts w:ascii="Calibri" w:hAnsi="Calibri"/>
                <w:bCs/>
                <w:color w:val="000000"/>
                <w:sz w:val="22"/>
                <w:szCs w:val="22"/>
              </w:rPr>
              <w:t>.</w:t>
            </w:r>
          </w:p>
        </w:tc>
      </w:tr>
    </w:tbl>
    <w:p w:rsidR="009E2D3D" w:rsidRPr="00A85A94" w:rsidRDefault="009E2D3D" w:rsidP="00567CC0">
      <w:pPr>
        <w:ind w:left="-851" w:right="-908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AC02B5" w:rsidRDefault="00AC02B5" w:rsidP="003C5CDD">
      <w:pPr>
        <w:shd w:val="clear" w:color="auto" w:fill="D9D9D9" w:themeFill="background1" w:themeFillShade="D9"/>
        <w:ind w:left="-851" w:right="-908"/>
        <w:rPr>
          <w:rFonts w:asciiTheme="minorHAnsi" w:hAnsiTheme="minorHAnsi"/>
          <w:sz w:val="22"/>
          <w:szCs w:val="22"/>
        </w:rPr>
      </w:pPr>
    </w:p>
    <w:p w:rsidR="00497924" w:rsidRPr="00497924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 w:rsidRPr="00DD70E0">
        <w:rPr>
          <w:rFonts w:asciiTheme="minorHAnsi" w:hAnsiTheme="minorHAnsi" w:cs="Comic Sans MS"/>
          <w:color w:val="000000"/>
          <w:sz w:val="22"/>
          <w:szCs w:val="22"/>
        </w:rPr>
        <w:t>ΑΘΔ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= 33.890,4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C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+ 144.180,6 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x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(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H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 xml:space="preserve"> – </w:t>
      </w:r>
      <w:r w:rsidRPr="00DD70E0">
        <w:rPr>
          <w:rFonts w:asciiTheme="minorHAnsi" w:hAnsiTheme="minorHAnsi" w:cs="Comic Sans MS"/>
          <w:color w:val="000000"/>
          <w:sz w:val="22"/>
          <w:szCs w:val="22"/>
          <w:lang w:val="en-US"/>
        </w:rPr>
        <w:t>O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/8) [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112A7D">
        <w:rPr>
          <w:rFonts w:asciiTheme="minorHAnsi" w:hAnsiTheme="minorHAnsi" w:cs="Comic Sans MS"/>
          <w:color w:val="000000"/>
          <w:sz w:val="22"/>
          <w:szCs w:val="22"/>
          <w:lang w:val="en-US"/>
        </w:rPr>
        <w:t>kg</w:t>
      </w:r>
      <w:r w:rsidRPr="00497924">
        <w:rPr>
          <w:rFonts w:asciiTheme="minorHAnsi" w:hAnsiTheme="minorHAnsi" w:cs="Comic Sans MS"/>
          <w:color w:val="000000"/>
          <w:sz w:val="22"/>
          <w:szCs w:val="22"/>
        </w:rPr>
        <w:t>]</w:t>
      </w:r>
    </w:p>
    <w:p w:rsidR="00497924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Μέγιστη χωρητικότητα φορτηγού: 40 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tn</w:t>
      </w:r>
      <w:proofErr w:type="spellEnd"/>
      <w:r>
        <w:rPr>
          <w:rFonts w:asciiTheme="minorHAnsi" w:hAnsiTheme="minorHAnsi" w:cs="Comic Sans MS"/>
          <w:color w:val="000000"/>
          <w:sz w:val="22"/>
          <w:szCs w:val="22"/>
        </w:rPr>
        <w:t xml:space="preserve"> ή  130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m</w:t>
      </w:r>
      <w:r w:rsidRPr="00112A7D">
        <w:rPr>
          <w:rFonts w:asciiTheme="minorHAnsi" w:hAnsiTheme="minorHAnsi" w:cs="Comic Sans MS"/>
          <w:color w:val="000000"/>
          <w:sz w:val="22"/>
          <w:szCs w:val="22"/>
        </w:rPr>
        <w:t>3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  <w:t>Κόστος φορτοεκφόρτωσης: 65 €</w:t>
      </w:r>
    </w:p>
    <w:p w:rsidR="00497924" w:rsidRPr="00112A7D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Μέση ταχύτητα: 65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km</w:t>
      </w:r>
      <w:r w:rsidRPr="00112A7D">
        <w:rPr>
          <w:rFonts w:asciiTheme="minorHAnsi" w:hAnsiTheme="minorHAnsi" w:cs="Comic Sans MS"/>
          <w:color w:val="000000"/>
          <w:sz w:val="22"/>
          <w:szCs w:val="22"/>
        </w:rPr>
        <w:t>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hr</w:t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  <w:t xml:space="preserve">Κατανάλωση καυσίμου: 45 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 w:rsidRPr="00112A7D">
        <w:rPr>
          <w:rFonts w:asciiTheme="minorHAnsi" w:hAnsiTheme="minorHAnsi" w:cs="Comic Sans MS"/>
          <w:color w:val="000000"/>
          <w:sz w:val="22"/>
          <w:szCs w:val="22"/>
        </w:rPr>
        <w:t xml:space="preserve">/100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km</w:t>
      </w:r>
    </w:p>
    <w:p w:rsidR="00CE5C93" w:rsidRPr="00CE5C93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>Κόστος καυσίμου: 1,3 €/</w:t>
      </w:r>
      <w:proofErr w:type="spellStart"/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lt</w:t>
      </w:r>
      <w:proofErr w:type="spellEnd"/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</w:r>
      <w:r>
        <w:rPr>
          <w:rFonts w:asciiTheme="minorHAnsi" w:hAnsiTheme="minorHAnsi" w:cs="Comic Sans MS"/>
          <w:color w:val="000000"/>
          <w:sz w:val="22"/>
          <w:szCs w:val="22"/>
        </w:rPr>
        <w:tab/>
        <w:t>Οδηγός, συντήρηση, κέρδος: 25 €/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hr</w:t>
      </w:r>
    </w:p>
    <w:p w:rsidR="00CE5C93" w:rsidRDefault="00CE5C93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Λανθάνουσα θερμότητα εξάτμισης νερού: </w:t>
      </w:r>
      <w:r w:rsidRPr="00CE5C93">
        <w:rPr>
          <w:rFonts w:asciiTheme="minorHAnsi" w:hAnsiTheme="minorHAnsi" w:cs="Comic Sans MS"/>
          <w:color w:val="000000"/>
          <w:sz w:val="22"/>
          <w:szCs w:val="22"/>
        </w:rPr>
        <w:t xml:space="preserve">40,7 </w:t>
      </w:r>
      <w:r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kJ</w:t>
      </w:r>
      <w:r w:rsidRPr="00CE5C93">
        <w:rPr>
          <w:rFonts w:asciiTheme="minorHAnsi" w:hAnsiTheme="minorHAnsi" w:cs="Comic Sans MS"/>
          <w:color w:val="000000"/>
          <w:sz w:val="22"/>
          <w:szCs w:val="22"/>
        </w:rPr>
        <w:t>/</w:t>
      </w:r>
      <w:r w:rsidRPr="00CE5C93">
        <w:rPr>
          <w:rFonts w:asciiTheme="minorHAnsi" w:hAnsiTheme="minorHAnsi" w:cs="Comic Sans MS"/>
          <w:color w:val="000000"/>
          <w:sz w:val="22"/>
          <w:szCs w:val="22"/>
          <w:lang w:val="en-US"/>
        </w:rPr>
        <w:t>mol</w:t>
      </w:r>
    </w:p>
    <w:p w:rsidR="00CE5C93" w:rsidRPr="007E0E5D" w:rsidRDefault="007E0E5D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  <w:lang w:val="en-US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 xml:space="preserve">Θερμότητα σχηματισμού μεθανίου: 74,5 </w:t>
      </w:r>
      <w:r>
        <w:rPr>
          <w:rFonts w:asciiTheme="minorHAnsi" w:hAnsiTheme="minorHAnsi" w:cs="Comic Sans MS"/>
          <w:color w:val="000000"/>
          <w:sz w:val="22"/>
          <w:szCs w:val="22"/>
          <w:lang w:val="en-US"/>
        </w:rPr>
        <w:t>kJ/mol</w:t>
      </w:r>
    </w:p>
    <w:p w:rsidR="00497924" w:rsidRPr="00112A7D" w:rsidRDefault="00497924" w:rsidP="00497924">
      <w:pPr>
        <w:ind w:left="-851" w:right="-1192"/>
        <w:rPr>
          <w:rFonts w:asciiTheme="minorHAnsi" w:hAnsiTheme="minorHAnsi" w:cs="Comic Sans MS"/>
          <w:color w:val="000000"/>
          <w:sz w:val="22"/>
          <w:szCs w:val="22"/>
        </w:rPr>
      </w:pPr>
      <w:r>
        <w:rPr>
          <w:rFonts w:asciiTheme="minorHAnsi" w:hAnsiTheme="minorHAnsi" w:cs="Comic Sans MS"/>
          <w:color w:val="000000"/>
          <w:sz w:val="22"/>
          <w:szCs w:val="22"/>
        </w:rPr>
        <w:tab/>
      </w:r>
    </w:p>
    <w:p w:rsidR="008743C6" w:rsidRDefault="00497924" w:rsidP="00497924">
      <w:pPr>
        <w:ind w:left="-851" w:right="-908"/>
        <w:rPr>
          <w:rFonts w:asciiTheme="minorHAnsi" w:eastAsiaTheme="minorEastAsia" w:hAnsiTheme="minorHAnsi" w:cstheme="minorBidi"/>
          <w:sz w:val="22"/>
          <w:szCs w:val="22"/>
        </w:rPr>
      </w:pPr>
      <w:r w:rsidRPr="00497924">
        <w:rPr>
          <w:rFonts w:asciiTheme="minorHAnsi" w:hAnsiTheme="minorHAnsi"/>
          <w:sz w:val="22"/>
          <w:szCs w:val="22"/>
        </w:rPr>
        <w:object w:dxaOrig="7476" w:dyaOrig="41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6.8pt;height:155.2pt" o:ole="">
            <v:imagedata r:id="rId5" o:title=""/>
          </v:shape>
          <o:OLEObject Type="Embed" ProgID="Unknown" ShapeID="_x0000_i1025" DrawAspect="Content" ObjectID="_1528292165" r:id="rId6"/>
        </w:object>
      </w:r>
    </w:p>
    <w:p w:rsidR="00497924" w:rsidRPr="00A85A94" w:rsidRDefault="00497924" w:rsidP="00497924">
      <w:pPr>
        <w:ind w:left="-851" w:right="-908"/>
        <w:rPr>
          <w:rFonts w:asciiTheme="minorHAnsi" w:hAnsiTheme="minorHAnsi"/>
          <w:sz w:val="22"/>
          <w:szCs w:val="22"/>
        </w:rPr>
      </w:pPr>
      <w:r w:rsidRPr="00497924">
        <w:rPr>
          <w:rFonts w:asciiTheme="minorHAnsi" w:hAnsiTheme="minorHAnsi"/>
          <w:sz w:val="22"/>
          <w:szCs w:val="22"/>
        </w:rPr>
        <w:object w:dxaOrig="3504" w:dyaOrig="2064">
          <v:shape id="_x0000_i1026" type="#_x0000_t75" style="width:144.95pt;height:85.1pt" o:ole="">
            <v:imagedata r:id="rId7" o:title=""/>
          </v:shape>
          <o:OLEObject Type="Embed" ProgID="Unknown" ShapeID="_x0000_i1026" DrawAspect="Content" ObjectID="_1528292166" r:id="rId8"/>
        </w:object>
      </w:r>
    </w:p>
    <w:sectPr w:rsidR="00497924" w:rsidRPr="00A85A94" w:rsidSect="005C5103"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16486"/>
    <w:multiLevelType w:val="hybridMultilevel"/>
    <w:tmpl w:val="2B5E2482"/>
    <w:lvl w:ilvl="0" w:tplc="5B9A77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379FF"/>
    <w:rsid w:val="00000F68"/>
    <w:rsid w:val="000023A7"/>
    <w:rsid w:val="00005911"/>
    <w:rsid w:val="00011E8B"/>
    <w:rsid w:val="00014CEB"/>
    <w:rsid w:val="00023998"/>
    <w:rsid w:val="00027A97"/>
    <w:rsid w:val="00032E1F"/>
    <w:rsid w:val="00033C19"/>
    <w:rsid w:val="0005220B"/>
    <w:rsid w:val="000A34D4"/>
    <w:rsid w:val="000A7F10"/>
    <w:rsid w:val="000B228B"/>
    <w:rsid w:val="000C05B1"/>
    <w:rsid w:val="000C073D"/>
    <w:rsid w:val="000F6103"/>
    <w:rsid w:val="00113841"/>
    <w:rsid w:val="00117F03"/>
    <w:rsid w:val="00124B00"/>
    <w:rsid w:val="001408B7"/>
    <w:rsid w:val="00146C62"/>
    <w:rsid w:val="00150471"/>
    <w:rsid w:val="0016070C"/>
    <w:rsid w:val="00172EA8"/>
    <w:rsid w:val="00177394"/>
    <w:rsid w:val="00193F2C"/>
    <w:rsid w:val="001A1F84"/>
    <w:rsid w:val="001A7A58"/>
    <w:rsid w:val="001B0C10"/>
    <w:rsid w:val="001B1770"/>
    <w:rsid w:val="001C5035"/>
    <w:rsid w:val="001D3363"/>
    <w:rsid w:val="001D3F8F"/>
    <w:rsid w:val="001F23A2"/>
    <w:rsid w:val="001F5695"/>
    <w:rsid w:val="00210BB1"/>
    <w:rsid w:val="00214FA1"/>
    <w:rsid w:val="002154A3"/>
    <w:rsid w:val="00221139"/>
    <w:rsid w:val="002455B4"/>
    <w:rsid w:val="00256617"/>
    <w:rsid w:val="002729F2"/>
    <w:rsid w:val="002A77D1"/>
    <w:rsid w:val="002C7EE5"/>
    <w:rsid w:val="002D27B6"/>
    <w:rsid w:val="002E45BB"/>
    <w:rsid w:val="002F2AA9"/>
    <w:rsid w:val="0031198F"/>
    <w:rsid w:val="00331F21"/>
    <w:rsid w:val="003670A2"/>
    <w:rsid w:val="00371A3F"/>
    <w:rsid w:val="00371B97"/>
    <w:rsid w:val="0038416F"/>
    <w:rsid w:val="00384E7E"/>
    <w:rsid w:val="0039705F"/>
    <w:rsid w:val="003C3265"/>
    <w:rsid w:val="003C5CDD"/>
    <w:rsid w:val="003E35A4"/>
    <w:rsid w:val="004172E1"/>
    <w:rsid w:val="004321E0"/>
    <w:rsid w:val="00450105"/>
    <w:rsid w:val="00475E23"/>
    <w:rsid w:val="00480913"/>
    <w:rsid w:val="00486E74"/>
    <w:rsid w:val="00497924"/>
    <w:rsid w:val="004C33E1"/>
    <w:rsid w:val="004C50A4"/>
    <w:rsid w:val="004D25C1"/>
    <w:rsid w:val="004E6073"/>
    <w:rsid w:val="004F2FA1"/>
    <w:rsid w:val="004F6D2F"/>
    <w:rsid w:val="004F7CC4"/>
    <w:rsid w:val="00516A28"/>
    <w:rsid w:val="005366D4"/>
    <w:rsid w:val="00536D56"/>
    <w:rsid w:val="00551E12"/>
    <w:rsid w:val="00556EE0"/>
    <w:rsid w:val="0056116E"/>
    <w:rsid w:val="00567CC0"/>
    <w:rsid w:val="00575324"/>
    <w:rsid w:val="005A6CEE"/>
    <w:rsid w:val="005C0975"/>
    <w:rsid w:val="005C5103"/>
    <w:rsid w:val="005D4026"/>
    <w:rsid w:val="005E3E64"/>
    <w:rsid w:val="005E4D7B"/>
    <w:rsid w:val="005F1E26"/>
    <w:rsid w:val="00600400"/>
    <w:rsid w:val="00615B31"/>
    <w:rsid w:val="0063124C"/>
    <w:rsid w:val="00631B13"/>
    <w:rsid w:val="00637B83"/>
    <w:rsid w:val="0064677E"/>
    <w:rsid w:val="00672395"/>
    <w:rsid w:val="006739D0"/>
    <w:rsid w:val="00677751"/>
    <w:rsid w:val="006831C0"/>
    <w:rsid w:val="0069721D"/>
    <w:rsid w:val="006A11EE"/>
    <w:rsid w:val="006A1CD6"/>
    <w:rsid w:val="006C1268"/>
    <w:rsid w:val="006D6FAF"/>
    <w:rsid w:val="006E2577"/>
    <w:rsid w:val="006E793D"/>
    <w:rsid w:val="007005D5"/>
    <w:rsid w:val="00703495"/>
    <w:rsid w:val="00710738"/>
    <w:rsid w:val="00716A7F"/>
    <w:rsid w:val="0073042E"/>
    <w:rsid w:val="00747F26"/>
    <w:rsid w:val="007514C3"/>
    <w:rsid w:val="00760421"/>
    <w:rsid w:val="00765B67"/>
    <w:rsid w:val="00790243"/>
    <w:rsid w:val="00792CF8"/>
    <w:rsid w:val="00793183"/>
    <w:rsid w:val="007A2F1B"/>
    <w:rsid w:val="007B03FE"/>
    <w:rsid w:val="007B3F3B"/>
    <w:rsid w:val="007C5576"/>
    <w:rsid w:val="007D0B44"/>
    <w:rsid w:val="007D545B"/>
    <w:rsid w:val="007E0E5D"/>
    <w:rsid w:val="007E3547"/>
    <w:rsid w:val="00802B1F"/>
    <w:rsid w:val="008164AA"/>
    <w:rsid w:val="00827C04"/>
    <w:rsid w:val="00832917"/>
    <w:rsid w:val="00843F91"/>
    <w:rsid w:val="00845A5A"/>
    <w:rsid w:val="0086703B"/>
    <w:rsid w:val="00874174"/>
    <w:rsid w:val="008743C6"/>
    <w:rsid w:val="00876049"/>
    <w:rsid w:val="008908D3"/>
    <w:rsid w:val="00892503"/>
    <w:rsid w:val="0089545E"/>
    <w:rsid w:val="008A02CA"/>
    <w:rsid w:val="008C01F8"/>
    <w:rsid w:val="008C2A94"/>
    <w:rsid w:val="008D0551"/>
    <w:rsid w:val="008D1789"/>
    <w:rsid w:val="008D70A0"/>
    <w:rsid w:val="00916725"/>
    <w:rsid w:val="00927CD7"/>
    <w:rsid w:val="009326FB"/>
    <w:rsid w:val="009329A3"/>
    <w:rsid w:val="00932F77"/>
    <w:rsid w:val="00946CA6"/>
    <w:rsid w:val="00997DDA"/>
    <w:rsid w:val="009A6099"/>
    <w:rsid w:val="009B315F"/>
    <w:rsid w:val="009B4118"/>
    <w:rsid w:val="009C50E3"/>
    <w:rsid w:val="009E2D3D"/>
    <w:rsid w:val="009F5DFD"/>
    <w:rsid w:val="00A127D8"/>
    <w:rsid w:val="00A4219C"/>
    <w:rsid w:val="00A44185"/>
    <w:rsid w:val="00A4736E"/>
    <w:rsid w:val="00A55AE1"/>
    <w:rsid w:val="00A64230"/>
    <w:rsid w:val="00A6610F"/>
    <w:rsid w:val="00A85A94"/>
    <w:rsid w:val="00A94BD4"/>
    <w:rsid w:val="00A9787A"/>
    <w:rsid w:val="00AA4662"/>
    <w:rsid w:val="00AB1C70"/>
    <w:rsid w:val="00AB233A"/>
    <w:rsid w:val="00AC02B5"/>
    <w:rsid w:val="00AC0B48"/>
    <w:rsid w:val="00AC1034"/>
    <w:rsid w:val="00AE3748"/>
    <w:rsid w:val="00AE746B"/>
    <w:rsid w:val="00AF20D5"/>
    <w:rsid w:val="00AF362B"/>
    <w:rsid w:val="00B01144"/>
    <w:rsid w:val="00B0301E"/>
    <w:rsid w:val="00B05B01"/>
    <w:rsid w:val="00B25C8F"/>
    <w:rsid w:val="00B50D74"/>
    <w:rsid w:val="00B72651"/>
    <w:rsid w:val="00B90205"/>
    <w:rsid w:val="00BB5D46"/>
    <w:rsid w:val="00BB66AF"/>
    <w:rsid w:val="00BD5C54"/>
    <w:rsid w:val="00BE4B63"/>
    <w:rsid w:val="00BF469B"/>
    <w:rsid w:val="00C03916"/>
    <w:rsid w:val="00C16048"/>
    <w:rsid w:val="00C40E4A"/>
    <w:rsid w:val="00C43D50"/>
    <w:rsid w:val="00C4599E"/>
    <w:rsid w:val="00C51776"/>
    <w:rsid w:val="00C72000"/>
    <w:rsid w:val="00C74551"/>
    <w:rsid w:val="00C771A7"/>
    <w:rsid w:val="00C82F0F"/>
    <w:rsid w:val="00C854FC"/>
    <w:rsid w:val="00CB4D94"/>
    <w:rsid w:val="00CC07E9"/>
    <w:rsid w:val="00CD595B"/>
    <w:rsid w:val="00CD7ABF"/>
    <w:rsid w:val="00CE356B"/>
    <w:rsid w:val="00CE5C93"/>
    <w:rsid w:val="00CE5DEC"/>
    <w:rsid w:val="00CF2C15"/>
    <w:rsid w:val="00D202EB"/>
    <w:rsid w:val="00D205AA"/>
    <w:rsid w:val="00D32278"/>
    <w:rsid w:val="00D379FF"/>
    <w:rsid w:val="00D44A50"/>
    <w:rsid w:val="00D53EA5"/>
    <w:rsid w:val="00D65A48"/>
    <w:rsid w:val="00D90E37"/>
    <w:rsid w:val="00D912B5"/>
    <w:rsid w:val="00DA138F"/>
    <w:rsid w:val="00DE7353"/>
    <w:rsid w:val="00DF3659"/>
    <w:rsid w:val="00DF66EE"/>
    <w:rsid w:val="00DF6FD8"/>
    <w:rsid w:val="00DF76CC"/>
    <w:rsid w:val="00E02A97"/>
    <w:rsid w:val="00E031DB"/>
    <w:rsid w:val="00E079B3"/>
    <w:rsid w:val="00E13D81"/>
    <w:rsid w:val="00E170EE"/>
    <w:rsid w:val="00E32D97"/>
    <w:rsid w:val="00E376D5"/>
    <w:rsid w:val="00E40712"/>
    <w:rsid w:val="00E54C5C"/>
    <w:rsid w:val="00E60E9C"/>
    <w:rsid w:val="00E63FE8"/>
    <w:rsid w:val="00E6663A"/>
    <w:rsid w:val="00E90602"/>
    <w:rsid w:val="00EA058D"/>
    <w:rsid w:val="00EA5C76"/>
    <w:rsid w:val="00EC116B"/>
    <w:rsid w:val="00EC1E83"/>
    <w:rsid w:val="00EC2176"/>
    <w:rsid w:val="00EC3373"/>
    <w:rsid w:val="00EE075C"/>
    <w:rsid w:val="00EE25FF"/>
    <w:rsid w:val="00EF4A77"/>
    <w:rsid w:val="00F021D9"/>
    <w:rsid w:val="00F06AEE"/>
    <w:rsid w:val="00F15401"/>
    <w:rsid w:val="00F25055"/>
    <w:rsid w:val="00F32168"/>
    <w:rsid w:val="00F55E96"/>
    <w:rsid w:val="00F630D0"/>
    <w:rsid w:val="00F64CF6"/>
    <w:rsid w:val="00F900CF"/>
    <w:rsid w:val="00F91660"/>
    <w:rsid w:val="00FA0C01"/>
    <w:rsid w:val="00FA48EC"/>
    <w:rsid w:val="00FA5210"/>
    <w:rsid w:val="00FB21A8"/>
    <w:rsid w:val="00FB6A49"/>
    <w:rsid w:val="00FC58CD"/>
    <w:rsid w:val="00FF0BC4"/>
    <w:rsid w:val="00FF2141"/>
    <w:rsid w:val="00FF6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0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2505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8D70A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D70A0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486E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Costas Elmasides</cp:lastModifiedBy>
  <cp:revision>13</cp:revision>
  <cp:lastPrinted>2012-06-25T11:08:00Z</cp:lastPrinted>
  <dcterms:created xsi:type="dcterms:W3CDTF">2014-06-09T11:00:00Z</dcterms:created>
  <dcterms:modified xsi:type="dcterms:W3CDTF">2016-06-24T13:50:00Z</dcterms:modified>
</cp:coreProperties>
</file>