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Light" w:cs="Lato Light" w:hAnsi="Lato Light" w:eastAsia="Lato Light"/>
          <w:color w:val="4d4d4d"/>
          <w:sz w:val="24"/>
          <w:szCs w:val="24"/>
          <w:rtl w:val="0"/>
        </w:rPr>
      </w:pP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Αγαθοπούλου Ε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2012. 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Το γλωσσικό εισαγόμενο στην κατάκτηση και την εκμάθηση Γ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2. 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Διαδρομές στη διδασκαλία της νέας ελληνικής γλώσσας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ΚΕΓ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Ανακτήθηκε από το διαδίκτυο στις </w:t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13/5/2018:</w:t>
      </w:r>
      <w:r>
        <w:rPr>
          <w:rStyle w:val="Hyperlink.0"/>
          <w:rFonts w:ascii="Lato Light" w:cs="Lato Light" w:hAnsi="Lato Light" w:eastAsia="Lato Light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Light" w:cs="Lato Light" w:hAnsi="Lato Light" w:eastAsia="Lato Light"/>
          <w:color w:val="0000ff"/>
          <w:sz w:val="24"/>
          <w:szCs w:val="24"/>
          <w:u w:val="single" w:color="0000ff"/>
        </w:rPr>
        <w:instrText xml:space="preserve"> HYPERLINK "http://elearning.greek-language.gr/pluginfile.php/4063/mod_resource/content/4/glossiko%20eisagomeno-Agathopoulou.pdf"</w:instrText>
      </w:r>
      <w:r>
        <w:rPr>
          <w:rStyle w:val="Hyperlink.0"/>
          <w:rFonts w:ascii="Lato Light" w:cs="Lato Light" w:hAnsi="Lato Light" w:eastAsia="Lato Light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Light" w:cs="Lato Light" w:hAnsi="Lato Light" w:eastAsia="Lato Light"/>
          <w:color w:val="0000ff"/>
          <w:sz w:val="24"/>
          <w:szCs w:val="24"/>
          <w:u w:val="single" w:color="0000ff"/>
          <w:rtl w:val="0"/>
          <w:lang w:val="en-US"/>
        </w:rPr>
        <w:t>http://elearning.greek-language.gr/pluginfile.php/4063/mod_resource/content/4/glossiko%20eisagomeno-Agathopoulou.pdf</w:t>
      </w:r>
      <w:r>
        <w:rPr>
          <w:rFonts w:ascii="Lato Light" w:cs="Lato Light" w:hAnsi="Lato Light" w:eastAsia="Lato Light"/>
          <w:color w:val="4d4d4d"/>
          <w:sz w:val="24"/>
          <w:szCs w:val="24"/>
        </w:rPr>
        <w:fldChar w:fldCharType="end" w:fldLock="0"/>
      </w:r>
      <w:r>
        <w:rPr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Αγαθοπούλου Ε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2011.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Διδασκαλία δεύτερης γλώσσας για ακαδημαϊκούς σκοπούς Ι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Εισαγωγή στο πεδίο και εφαρμογές γλωσσολογικών αναλύσεων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Πρόγραμμα «Διαδρομές στη Διδασκαλία της Ελληνικής ως Ξένης Γλώσσας»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Θεσσαλονίκη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, KE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στις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18/4/2018 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στο διαδίκτυο</w:t>
      </w:r>
      <w:r>
        <w:rPr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</w:rPr>
        <w:fldChar w:fldCharType="begin" w:fldLock="0"/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</w:rPr>
        <w:instrText xml:space="preserve"> HYPERLINK "http://elearning.greek-language.gr/mod/resource/view.php?id=272"</w:instrText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</w:rPr>
        <w:fldChar w:fldCharType="separate" w:fldLock="0"/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  <w:t>http://elearning.greek-language.gr/mod/resource/view.php?id=272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Light" w:cs="Lato Light" w:hAnsi="Lato Light" w:eastAsia="Lato Light"/>
          <w:color w:val="4d4d4d"/>
          <w:sz w:val="24"/>
          <w:szCs w:val="24"/>
          <w:rtl w:val="0"/>
        </w:rPr>
      </w:pP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Αμπάτη Α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.,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Π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Μιχαλακοπούλου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&amp;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Μ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Πουλοπούλου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2004. </w:t>
      </w:r>
      <w:r>
        <w:rPr>
          <w:rStyle w:val="None"/>
          <w:rFonts w:ascii="Lato Light" w:cs="Lato Light" w:hAnsi="Lato Light" w:eastAsia="Lato Light"/>
          <w:i w:val="1"/>
          <w:iCs w:val="1"/>
          <w:color w:val="4d4d4d"/>
          <w:sz w:val="24"/>
          <w:szCs w:val="24"/>
          <w:u w:color="4d4d4d"/>
          <w:rtl w:val="0"/>
        </w:rPr>
        <w:t>Η διδασκαλία των ασκήσεων Γραμματικής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Στο πλαίσιο του προγράμματος «Εκπαίδευση Μουσουλμανοπαίδων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, 2002-2004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  <w:lang w:val="it-IT"/>
        </w:rPr>
        <w:t>»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,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Δράση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: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Γραμματική και Διδασκαλία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,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επιστημονικός υπεύθυνος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: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Σ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Μοσχονάς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. 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>Διαθέσιμο στο</w:t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: </w:t>
      </w:r>
      <w:r>
        <w:rPr>
          <w:rStyle w:val="Hyperlink.2"/>
          <w:rFonts w:ascii="Lato Light" w:cs="Lato Light" w:hAnsi="Lato Light" w:eastAsia="Lato Light"/>
          <w:color w:val="0000ff"/>
          <w:sz w:val="24"/>
          <w:szCs w:val="24"/>
          <w:u w:val="single" w:color="0000ff"/>
          <w:lang w:val="de-DE"/>
        </w:rPr>
        <w:fldChar w:fldCharType="begin" w:fldLock="0"/>
      </w:r>
      <w:r>
        <w:rPr>
          <w:rStyle w:val="Hyperlink.2"/>
          <w:rFonts w:ascii="Lato Light" w:cs="Lato Light" w:hAnsi="Lato Light" w:eastAsia="Lato Light"/>
          <w:color w:val="0000ff"/>
          <w:sz w:val="24"/>
          <w:szCs w:val="24"/>
          <w:u w:val="single" w:color="0000ff"/>
          <w:lang w:val="de-DE"/>
        </w:rPr>
        <w:instrText xml:space="preserve"> HYPERLINK "http://old.media.uoa.gr/language/studies/studies.php?s=1"</w:instrText>
      </w:r>
      <w:r>
        <w:rPr>
          <w:rStyle w:val="Hyperlink.2"/>
          <w:rFonts w:ascii="Lato Light" w:cs="Lato Light" w:hAnsi="Lato Light" w:eastAsia="Lato Light"/>
          <w:color w:val="0000ff"/>
          <w:sz w:val="24"/>
          <w:szCs w:val="24"/>
          <w:u w:val="single" w:color="0000ff"/>
          <w:lang w:val="de-DE"/>
        </w:rPr>
        <w:fldChar w:fldCharType="separate" w:fldLock="0"/>
      </w:r>
      <w:r>
        <w:rPr>
          <w:rStyle w:val="Hyperlink.2"/>
          <w:rFonts w:ascii="Lato Light" w:cs="Lato Light" w:hAnsi="Lato Light" w:eastAsia="Lato Light"/>
          <w:color w:val="0000ff"/>
          <w:sz w:val="24"/>
          <w:szCs w:val="24"/>
          <w:u w:val="single" w:color="0000ff"/>
          <w:rtl w:val="0"/>
          <w:lang w:val="de-DE"/>
        </w:rPr>
        <w:t>http://old.media.uoa.gr/language/studies/studies.php?s=1</w:t>
      </w:r>
      <w:r>
        <w:rPr>
          <w:rFonts w:ascii="Lato Light" w:cs="Lato Light" w:hAnsi="Lato Light" w:eastAsia="Lato Light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Light" w:cs="Lato Light" w:hAnsi="Lato Light" w:eastAsia="Lato Light"/>
          <w:color w:val="4d4d4d"/>
          <w:sz w:val="24"/>
          <w:szCs w:val="24"/>
          <w:u w:color="4d4d4d"/>
          <w:rtl w:val="0"/>
        </w:rPr>
        <w:t xml:space="preserve">  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Αναστασιάδη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Συμεωνίδη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Βλέτση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Μητσιάκη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Οικονόμου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Αλεξανδρή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2014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Βλέποντας τον κόσμο με άλλα μάτια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φως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χρώματα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Μια προσέγγιση διδασκαλίας των Φυσικών Επιστημών μέσω της Νεοελληνικής ως δεύτερης γλώσσας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Στο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Cross</w:t>
      </w:r>
      <w:r>
        <w:rPr>
          <w:rStyle w:val="None"/>
          <w:rFonts w:ascii="Times New Roman" w:cs="Lato Regular" w:hAnsi="Times New Roman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curricular Approaches to Language Education</w:t>
      </w:r>
      <w:r>
        <w:rPr>
          <w:rStyle w:val="None"/>
          <w:rFonts w:ascii="Times New Roman" w:cs="Lato Regular" w:hAnsi="Times New Roman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,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 xml:space="preserve"> Psaltou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Joycey Angeliki, Eleni Agathopoulou &amp; Marina Mattheoudakis 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επιμ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.), Cambridge Scholars Publishing, 244-272.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Αναστασιάδη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Συμεωνίδη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Βλέτση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Μητσιάκη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2014.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Η ενίσχυση της λεξιλογικής ικανότητας στη γλωσσική διδασκαλία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Στο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Θέματα Διδασκαλίας και Αγωγής στο Πολυπολιτισμικό Σχολείο−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Επιμορφωτικό Υλικό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,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Κατσαρού 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Λιακοπούλου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.),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Θεσσαλονίκη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Γραφικές Τέχνες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ACCESS, 363-396.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3/5/2018: </w:t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fldChar w:fldCharType="begin" w:fldLock="0"/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instrText xml:space="preserve"> HYPERLINK "http://www.diapolis.auth.gr/epimorfotiko_uliko/images/pdf/keimena/yliko/enotita_b/symeonidi.pdf"</w:instrText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fldChar w:fldCharType="separate" w:fldLock="0"/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rtl w:val="0"/>
          <w:lang w:val="en-US"/>
        </w:rPr>
        <w:t>http://www.diapolis.auth.gr/epimorfotiko_uliko/images/pdf/keimena/yliko/enotita_b/symeonidi.pdf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Αναστασιάδη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Συμεωνίδη Ά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2012.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Το γραμματικό γένος στη διδακτική της ελληνικής ως δεύτερης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/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ξένης γλώσσας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Μελέτες για την Ελληνική Γλώσσα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32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443-456.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23/5/2018: </w: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instrText xml:space="preserve"> HYPERLINK "http://ins.web.auth.gr/images/MEG_PLIRI/MEG_32_443_455.pdf"</w:instrTex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http://ins.web.auth.gr/images/MEG_PLIRI/MEG_32_443_455.pdf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Αναστασιάδη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Συμεωνίδη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Μητσιάκη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 2010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Η χρήση των μονόγλωσσων λεξικών στη διδασκαλία της Ελληνικής ως ξένης γλώσσας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Μια διδακτική εφαρμογή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Στα Πρακτικά του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Πανελλήνιου Συνεδρίου με διεθνή συμμετοχή «Η Διδασκαλία της Ελληνικής Γλώσσας ως Πρώτης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/ 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Μητρικής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Δεύτερης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/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Ξένης»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Ντίνας Κ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Χατζηπαναγιωτίδη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Βακάλη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Κωτόπουλος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Στάμου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.),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Πανεπιστήμιο Δυτικής Μακεδονίας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Παιδαγωγική Σχολή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7/5/2018: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"http://linguistics.nured.uowm.gr/Nimfeo2009/praktika/files/down/paraskeui/aithusa2/anastasiadiMitsaki.pdf"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http://linguistics.nured.uowm.gr/Nimfeo2009/praktika/files/down/paraskeui/aithusa2/anastasiadiMitsaki.pdf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Αναστασιάδη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Συμεωνίδη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Μητσιάκη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2010.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Ο μορφολογικός τεμαχισμός ως στρατηγική διδασκαλίας του λεξιλογίου της Ελληνικής ως δεύτερης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/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ξένης γλώσσας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Στα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Πρακτικά του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14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vertAlign w:val="superscript"/>
          <w:rtl w:val="0"/>
          <w:lang w:val="en-US"/>
        </w:rPr>
        <w:t>ου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 Διεθνούς Συνεδρίου «Εξελίξεις στην Έρευνα της Γλωσσικής Εκµάθησης και Διδασκαλίας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Επιλεγμένα άρθρα»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Ψάλτου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 xml:space="preserve">Joycey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Αγγελική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Μαρίνα Ματθαιουδάκη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.),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ΕΕΕΓ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, 65-77.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3/5/2018: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"http://www.enl.auth.gr/gala/14th/Papers/Greek%20papers/Anastasiadi-Symeonidi&amp;Mitsiaki.pdf"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http://www.enl.auth.gr/gala/14th/Papers/Greek%20papers/Anastasiadi-Symeonidi&amp;Mitsiaki.pdf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Αναστασιάδη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Συμεωνίδη Ά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Μητσιάκη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Βλέτση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2008.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Φωνητικά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φωνολογικά και μορφολογικά θέματα για τη διδασκαλία της Ελληνικής ως δεύτερης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/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ξένης γλώσσας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Στο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Οδηγός Επιμόρφωσης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Διαπολιτισμική Εκπαίδευση και Αγωγή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έργο 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«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Ένταξη παιδιών παλιννοστούντων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αλλοδαπών στο σχολείο για τη Δευτεροβάθμια Εκπαίδευση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Γυμνάσιο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)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»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Τμήμα Φιλοσοφίας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Παιδαγωγικής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Θεσσαλονίκη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Εκδόσεις Λιθογραφία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, 159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−</w:t>
      </w:r>
      <w:r>
        <w:rPr>
          <w:rStyle w:val="None"/>
          <w:rFonts w:ascii="Cambria" w:cs="Cambria" w:hAnsi="Cambria" w:eastAsia="Cambria"/>
          <w:color w:val="4d4d4d"/>
          <w:sz w:val="24"/>
          <w:szCs w:val="24"/>
          <w:u w:color="4d4d4d"/>
          <w:rtl w:val="0"/>
          <w:lang w:val="en-US"/>
        </w:rPr>
        <w:t>176</w:t>
      </w:r>
      <w:r>
        <w:rPr>
          <w:rStyle w:val="None"/>
          <w:rFonts w:ascii="Times New Roman" w:cs="Lato Regular" w:hAnsi="Times New Roman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διαδίκτυο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20/5/2018: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www.diapolis.auth.gr/diapolis_files/drasi9/ypodrasi9.2b_2013/1_%CE%95%CF%80%CE%B9%CE%BC%CE%BF%CF%81%CF%86%CF%89%CF%84%CE%B9%CE%BA%CF%8C%20%CE%A5%CE%BB%CE%B9%CE%BA%CF%8C%20%CE%95%CE%A0%CE%A0%CE%91%CE%A3/1.1_%CE%93%CE%BB%CF%8E%CF%83%CF%83%CF%83%CE%B1%20-%20%CE%9B%CE%BF%CE%B3%CE%BF%CF%84%CE%B5%CF%87%CE%BD%CE%AF%CE%B1/3%20%CE%98%CE%AD%CE%BC%CE%B1%CF%84%CE%B1%20%CE%B5%CE%BB%CE%BB%CE%B7%CE%BD%CE%B9%CE%BA%CE%AE%CF%82%20%CF%89%CF%82%20%CE%B4%CE%B5%CF%8D%CF%84%CE%B5%CF%81%CE%B7%CF%82%20%CE%91%CE%BD%CE%B1%CF%83%CF%84%CE%B1%CF%83%CE%B9%CE%AC%CE%B4%CE%B7-%CE%A3%CF%85%CE%BC%CE%B5%CF%89%CE%BD%CE%AF%CE%B4%CE%B7,%20%CE%9C%CE%B7%CF%84%CF%83%CE%AC%CE%BA%CE%B7,%20%CE%92%CE%BB%CE%AD%CF%84%CF%83%CE%B7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de-DE"/>
        </w:rPr>
        <w:t>http://www.diapolis.auth.gr/diapolis_files/drasi9/ypodrasi9.2b_2013/1_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Επιμορφωτικό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Υλικό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ΕΠΠΑΣ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/1.1_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Γλώσσσα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%20-%20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Λογοτεχνία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/3%20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Θέματα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ελληνικής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ως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δεύτερης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Αναστασιάδη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-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Συμεωνίδη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,%20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Μητσάκη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,%20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Βλέτση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Αραποπούλου 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Γιαννουλοπούλου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2001.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Εγκυκλοπαιδικός οδηγός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Η χρήση της γλώσσας στα μη γλωσσικά μαθήματα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O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λόγος των επιστημών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2/5/2018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από το διαδίκτυο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instrText xml:space="preserve"> HYPERLINK "http://www.komvos.edu.gr/glwssa/odigos/thema_e7/e_6_thema.htm"</w:instrTex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http://www.komvos.edu.gr/glwssa/odigos/thema_e7/e_6_thema.htm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Βερβίτης 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Καπουρκατσίδου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&amp; V. Stojic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̌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ic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́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2012.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Ζητήματα διαγλώσσας στην παραγωγή γραπτού λόγου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Η περίπτωση των σερβόφωνων φοιτητών με γλώσσα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στόχο την Ελληνική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In Z. Gavriilidou, A. Efthymiou, E. Thomadaki &amp; P. Kambakis-Vougiouklis (eds), 2012, </w:t>
      </w:r>
      <w:r>
        <w:rPr>
          <w:rStyle w:val="None"/>
          <w:rFonts w:ascii="Lato Light" w:cs="Lato Light" w:hAnsi="Lato Light" w:eastAsia="Lato Light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Selected papers of the 10th ICGL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 Komotini/Greece: Democritus University of Thrace, 717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−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724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"http://www.icgl.gr/files/greek/67-717-724.pdf"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http://www.icgl.gr/files/greek/67-717-724.pdf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Carter Ronald. 1987. Is there a Core Vocabulary? Some Implications for Language Teaching.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Applied Linguistics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, Volume 8, Issue 2, 1, 178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–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193.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"http://citeseerx.ist.psu.edu/viewdoc/download?doi=10.1.1.867.7240&amp;rep=rep1&amp;type=pdf"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http://citeseerx.ist.psu.edu/viewdoc/download?doi=10.1.1.867.7240&amp;rep=rep1&amp;type=pdf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Ζάγκα 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Κεσίδου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Ματθαιουδάκη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2015.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Οι δυσκολίες των αλλόγλωσσων μαθητών στα μαθήματα του Προγράμματος Σπουδών από τη σκοπιά των εκπαιδευτικών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Ερευνητικά δεδομένα για το δημοτικό σχολείο και το γυμνάσιο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Παιδαγωγική επιθεώρηση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60, 71-90.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"https://ojs.lib.uom.gr/index.php/paidagogiki/article/view/8608/8658"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https://ojs.lib.uom.gr/index.php/paidagogiki/article/view/8608/8658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Ζάγκα 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Μητσιάκη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2015.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Μια Θάλασσα Μικρή…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Ένα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Project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Λογοτεχνίας για τη Διδασκαλία της Ελληνικής ως Δεύτερης Γλώσσας»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Στα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Πρακτικά του Διεθνούς Συνεδρίου Γλώσσες και Πολιτισμοί σε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Διά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)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δραση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Βηδενμάιερ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Ι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Πάγκαλος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Σαπιρίδου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.),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Τμήμα Γερμανικής Γλώσσας και Φιλολογίας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Εκδόσεις 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Θεσσαλονίκη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, 221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–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234.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Ιακώβου 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2015.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Η έννοια της διαβάθμισης στην κατασκευή ΑΠ για τη διδασκαλία της Ελληνικής ως Δεύτερης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Διαδρομές στη διδασκαλία της ελληνικής ως ξένης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ΚΕΓ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).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7/5/2018:  </w:t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fldChar w:fldCharType="begin" w:fldLock="0"/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instrText xml:space="preserve"> HYPERLINK "http://elearning.greek-language.gr/pluginfile.php/4127/mod_resource/content/3/Diavathmisi_AP_Iakovou.pdf"</w:instrText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fldChar w:fldCharType="separate" w:fldLock="0"/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rtl w:val="0"/>
          <w:lang w:val="en-US"/>
        </w:rPr>
        <w:t>http://elearning.greek-language.gr/pluginfile.php/4127/mod_resource/content/3/Diavathmisi_AP_Iakovou.pdf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Ιακώβου 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2011.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Το μαθησιακό φορτίο των λέξεων στην εκμάθηση και τη διδασκαλία της Ελληνικής ως 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Διαδρομές στη διδασκαλία της ελληνικής ως ξένης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ΚΕΓ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).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7/5/2018: 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"http://elearning.greek-language.gr/pluginfile.php/4088/mod_resource/content/5/%CE%99%CE%B1%CE%BA%CF%8E%CE%B2%CE%BF%CF%85_%CE%9C%CE%B1%CE%B8%CE%B7%CF%83%CE%B9%CE%B1%CE%BA%CF%8C%20%CF%86%CE%BF%CF%81%CF%84%CE%AF%CE%BF.pdf"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http://elearning.greek-language.gr/pluginfile.php/4088/mod_resource/content/5/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Ιακώβου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_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Μαθησιακό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%20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φορτίο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</w:rPr>
        <w:t>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Ιακώβου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M.,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Μαρκόπουλος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Μικρός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2002.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Καθορισμός Βασικού Λεξιλογίου μέσω Ηλεκτρονικών Σωμάτων Κειμένων για τη διδασκαλία της Νέας Ελληνικής ως ξένης γλώσσας»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Στα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Πρακτικά του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2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vertAlign w:val="superscript"/>
          <w:rtl w:val="0"/>
          <w:lang w:val="en-US"/>
        </w:rPr>
        <w:t>ου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 Διεθνούς Συνεδρίου για τη διδασκαλία της Νέας Ελληνικής ως ξένης γλώσσας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Αθήνα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27-28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Σεμπτεμβρίου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2002.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Αθήνα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., 161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–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171.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Ματθαιουδάκη 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2013.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Σύγχρονες μεθοδολογικές προσεγγίσεις – Η μέθοδος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CLIL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και σχετικές διδακτικές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Διαδρομές στη διδασκαλία της νέας ελληνικής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ΚΕΓ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2/5/2018: </w: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instrText xml:space="preserve"> HYPERLINK "http://elearning.greek-language.gr/pluginfile.php/1144/mod_resource/content/3/montela.didaskalias.me.basi.periexomeno.pdf"</w:instrTex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http://elearning.greek-language.gr/pluginfile.php/1144/mod_resource/content/3/montela.didaskalias.me.basi.periexomeno.pdf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Ματθαιουδάκη 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Ι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Κίτσου και Δ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Τζιμώκας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2011.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Η χρήση της ρηματικής όψης στη νέα ελληνική ως δεύτερη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/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ξένη γλώσσα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πορίσματα εμπειρικής έρευνας από τις εξετάσεις πιστοποίησης ελληνομάθειας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Στο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Μελέτες για την ελληνική γλώσσα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31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Θεσσαλονίκη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Ινστιτούτο Νεοελληνικών Σπουδών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, 317-328.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"http://ins.web.auth.gr/images/MEG_PLIRI/MEG_31_317_328.pdf"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http://ins.web.auth.gr/images/MEG_PLIRI/MEG_31_317_328.pdf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Nagy</w:t>
      </w:r>
      <w:r>
        <w:rPr>
          <w:rStyle w:val="None"/>
          <w:rFonts w:ascii="Lato Regular" w:cs="Lato Regular" w:hAnsi="Lato Regular" w:eastAsia="Lato Regular"/>
          <w:color w:val="000000"/>
          <w:sz w:val="24"/>
          <w:szCs w:val="24"/>
          <w:u w:color="000000"/>
          <w:rtl w:val="0"/>
          <w:lang w:val="en-US"/>
        </w:rPr>
        <w:t xml:space="preserve"> W. &amp; D.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Townsend</w:t>
      </w:r>
      <w:r>
        <w:rPr>
          <w:rStyle w:val="None"/>
          <w:rFonts w:ascii="Lato Regular" w:cs="Lato Regular" w:hAnsi="Lato Regular" w:eastAsia="Lato Regular"/>
          <w:color w:val="000000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2012</w:t>
      </w:r>
      <w:r>
        <w:rPr>
          <w:rStyle w:val="None"/>
          <w:rFonts w:ascii="Lato Regular" w:cs="Lato Regular" w:hAnsi="Lato Regular" w:eastAsia="Lato Regular"/>
          <w:color w:val="000000"/>
          <w:sz w:val="24"/>
          <w:szCs w:val="24"/>
          <w:u w:color="000000"/>
          <w:rtl w:val="0"/>
          <w:lang w:val="en-US"/>
        </w:rPr>
        <w:t xml:space="preserve">. Words as tools Learning academic vocabulary as language acquisition.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Reading Research Quarterly</w:t>
      </w:r>
      <w:r>
        <w:rPr>
          <w:rStyle w:val="None"/>
          <w:rFonts w:ascii="Lato Regular" w:cs="Lato Regular" w:hAnsi="Lato Regular" w:eastAsia="Lato Regular"/>
          <w:color w:val="000000"/>
          <w:sz w:val="24"/>
          <w:szCs w:val="24"/>
          <w:u w:color="000000"/>
          <w:rtl w:val="0"/>
          <w:lang w:val="en-US"/>
        </w:rPr>
        <w:t xml:space="preserve"> 47, 91-108.</w:t>
      </w:r>
      <w:r>
        <w:rPr>
          <w:rStyle w:val="None"/>
          <w:rFonts w:ascii="Lato Regular" w:cs="Lato Regular" w:hAnsi="Lato Regular" w:eastAsia="Lato Regular"/>
          <w:color w:val="000000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"https://arts-sciences.und.edu/communication-sciences-disorders/_files/docs/wordsastoolsarticle.pdf"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https://arts-sciences.und.edu/communication-sciences-disorders/_files/docs/wordsastoolsarticle.pdf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000000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Παπαδοπούλου Δ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Δ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Τζιμώκας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2015.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Λάθη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είδη και αντιμετώπισή τους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Διαδρομές για τη διδασκαλία της ελληνικής ως ξένης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/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δεύτερης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ΚΕΓ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19/4/2018: </w: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instrText xml:space="preserve"> HYPERLINK "http://elearning.greek-language.gr/pluginfile.php/4100/mod_resource/content/4/Eidi_kai_antimetopisi_lathon_Papadopoulou_Tzimokas.pdf"</w:instrText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4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http://elearning.greek-language.gr/pluginfile.php/4100/mod_resource/content/4/Eidi_kai_antimetopisi_lathon_Papadopoulou_Tzimokas.pdf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Παπαδοπούλου Δ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Αγαθοπούλου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2014.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Σύγχρονες προσεγγίσεις στη διδασκαλία της γραμματικής της ελληνικής ως δεύτερης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Στο 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Κατσαρού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Λιακοπούλου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επιμ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.),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Θέματα Διδασκαλίας και Αγωγής στο Πολυπολιτισμικό Σχολείο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Ενότητα Β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, 397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–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418.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Θεσσαλονίκη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Access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Γραφικές Τέχνες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διαδίκτυο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20/4/2018: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"http://www.diapolis.auth.gr/epimorfotiko_uliko/images/pdf/keimena/yliko/enotita_b/papadopoulou.pdf"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http://www.diapolis.auth.gr/epimorfotiko_uliko/images/pdf/keimena/yliko/enotita_b/papadopoulou.pdf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Pawlak M. 2009. Grammar learning strategies and language attainment: Seeking a relationship. </w:t>
      </w:r>
      <w:r>
        <w:rPr>
          <w:rStyle w:val="None"/>
          <w:rFonts w:ascii="Lato Regular" w:cs="Lato Regular" w:hAnsi="Lato Regular" w:eastAsia="Lato Regular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Research in Language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vol. 7, 43-60.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16/5/2018: </w:t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fldChar w:fldCharType="begin" w:fldLock="0"/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instrText xml:space="preserve"> HYPERLINK "http://yadda.icm.edu.pl/yadda/element/bwmeta1.element.hdl_11089_9557/c/v10015-009-0004-7.pdf"</w:instrText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lang w:val="en-US"/>
        </w:rPr>
        <w:fldChar w:fldCharType="separate" w:fldLock="0"/>
      </w:r>
      <w:r>
        <w:rPr>
          <w:rStyle w:val="Hyperlink.3"/>
          <w:rFonts w:ascii="Lato Regular" w:cs="Lato Regular" w:hAnsi="Lato Regular" w:eastAsia="Lato Regular"/>
          <w:color w:val="3e1f32"/>
          <w:sz w:val="24"/>
          <w:szCs w:val="24"/>
          <w:u w:val="single" w:color="3e1f32"/>
          <w:rtl w:val="0"/>
          <w:lang w:val="en-US"/>
        </w:rPr>
        <w:t>http://yadda.icm.edu.pl/yadda/element/bwmeta1.element.hdl_11089_9557/c/v10015-009-0004-7.pdf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Παπαδοπούλου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Δ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Zmijanjac,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Αγαθοπούλου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2008.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Απόκτηση της συμφωνίας ουσιαστικού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-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επιθέτου στην Ελληνική ως Γ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Συγκριτική μελέτη δύο διδακτικών παρεμβάσεων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Διαθέσιμο στο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Hyperlink.5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fr-FR"/>
        </w:rPr>
        <w:fldChar w:fldCharType="begin" w:fldLock="0"/>
      </w:r>
      <w:r>
        <w:rPr>
          <w:rStyle w:val="Hyperlink.5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fr-FR"/>
        </w:rPr>
        <w:instrText xml:space="preserve"> HYPERLINK "http://www.enl.auth.gr/staff/agathopoulou/papa_ks_agatho_amgl30_draft.pdf"</w:instrText>
      </w:r>
      <w:r>
        <w:rPr>
          <w:rStyle w:val="Hyperlink.5"/>
          <w:rFonts w:ascii="Lato Regular" w:cs="Lato Regular" w:hAnsi="Lato Regular" w:eastAsia="Lato Regular"/>
          <w:color w:val="0000ff"/>
          <w:sz w:val="24"/>
          <w:szCs w:val="24"/>
          <w:u w:val="single" w:color="0000ff"/>
          <w:lang w:val="fr-FR"/>
        </w:rPr>
        <w:fldChar w:fldCharType="separate" w:fldLock="0"/>
      </w:r>
      <w:r>
        <w:rPr>
          <w:rStyle w:val="Hyperlink.5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fr-FR"/>
        </w:rPr>
        <w:t>http://www.enl.auth.gr/staff/agathopoulou/papa_ks_agatho_amgl30_draft.pdf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Τοκατλίδου Β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2011.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Προδιαγραφές οργάνων γλωσσικής εξέτασης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Calibri" w:cs="Calibri" w:hAnsi="Calibri" w:eastAsia="Calibri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e-</w:t>
      </w:r>
      <w:r>
        <w:rPr>
          <w:rStyle w:val="None"/>
          <w:rFonts w:ascii="Calibri" w:cs="Calibri" w:hAnsi="Calibri" w:eastAsia="Calibri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περιοδικό </w:t>
      </w:r>
      <w:r>
        <w:rPr>
          <w:rStyle w:val="None"/>
          <w:rFonts w:ascii="Calibri" w:cs="Calibri" w:hAnsi="Calibri" w:eastAsia="Calibri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RCeL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5/4/2018: </w:t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</w:rPr>
        <w:fldChar w:fldCharType="begin" w:fldLock="0"/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</w:rPr>
        <w:instrText xml:space="preserve"> HYPERLINK "http://rcel2.enl.uoa.gr/periodical/research4.htm"</w:instrText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</w:rPr>
        <w:fldChar w:fldCharType="separate" w:fldLock="0"/>
      </w:r>
      <w:r>
        <w:rPr>
          <w:rStyle w:val="Hyperlink.1"/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  <w:t>http://rcel2.enl.uoa.gr/periodical/research4.htm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Τσοκαλίδου Ρ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., &amp;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Χ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Μαλιγκούδη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2011.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Διαπολιτισμική εκπαίδευση και Διγλωσσία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Κεφάλαιο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2,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Ενότητα «Επιμορφωτικό Υλικό στο Πλαίσιο του προγράμματος ΕΣΠΑ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Πιστοποίηση Ελληνομάθειας Υποστήριξη και Ποιοτική Ανάδειξη της Διδασκαλίας της Ελληνικής ως Ξένης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/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Δεύτερης Γλώσσας»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(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συγχρηματοδότηση Υπουργείου Παιδείας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-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Ευρωπαϊκής Ένωσης και υλοποίηση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Κέντρο Ελληνικής Γλώσσας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).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Ανακτήθηκε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27/10/2018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από το διαδίκτυο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"http://users.auth.gr/tsokalid/images/Diapolitismiki%20ekpedefsi_12.pdf"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http://users.auth.gr/tsokalid/images/Diapolitismiki%20ekpedefsi_12.pdf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suppressAutoHyphens w:val="1"/>
        <w:bidi w:val="0"/>
        <w:ind w:right="0"/>
        <w:jc w:val="left"/>
        <w:outlineLvl w:val="0"/>
        <w:rPr>
          <w:rFonts w:ascii="Lato Regular" w:cs="Lato Regular" w:hAnsi="Lato Regular" w:eastAsia="Lato Regular"/>
          <w:color w:val="4d4d4d"/>
          <w:sz w:val="24"/>
          <w:szCs w:val="24"/>
          <w:rtl w:val="0"/>
          <w:lang w:val="en-US"/>
        </w:rPr>
      </w:pP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Χοντολίδου Ε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2007.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Διδασκαλία και αξιολόγηση της επίδοσης των μαθητών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Calibri" w:cs="Calibri" w:hAnsi="Calibri" w:eastAsia="Calibri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>Κλειδιά και αντικλείδια</w:t>
      </w:r>
      <w:r>
        <w:rPr>
          <w:rStyle w:val="None"/>
          <w:rFonts w:ascii="Calibri" w:cs="Calibri" w:hAnsi="Calibri" w:eastAsia="Calibri"/>
          <w:i w:val="1"/>
          <w:iCs w:val="1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Αθήνα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ΥΠΕΠΘ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: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>Πανεπιστήμιο Αθηνών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.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Ανακτήθηκε από το διαδίκτυο στις </w:t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18/4/2018: </w: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instrText xml:space="preserve"> HYPERLINK "http://repository.edulll.gr/edulll/retrieve/3200/928.pdf"</w:instrText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Lato Regular" w:cs="Lato Regular" w:hAnsi="Lato Regular" w:eastAsia="Lato Regular"/>
          <w:color w:val="0000ff"/>
          <w:sz w:val="24"/>
          <w:szCs w:val="24"/>
          <w:u w:val="single" w:color="0000ff"/>
          <w:rtl w:val="0"/>
          <w:lang w:val="en-US"/>
        </w:rPr>
        <w:t>http://repository.edulll.gr/edulll/retrieve/3200/928.pdf</w:t>
      </w:r>
      <w:r>
        <w:rPr>
          <w:rFonts w:ascii="Lato Regular" w:cs="Lato Regular" w:hAnsi="Lato Regular" w:eastAsia="Lato Regular"/>
          <w:color w:val="4d4d4d"/>
          <w:sz w:val="24"/>
          <w:szCs w:val="24"/>
        </w:rPr>
        <w:fldChar w:fldCharType="end" w:fldLock="0"/>
      </w:r>
      <w:r>
        <w:rPr>
          <w:rStyle w:val="None"/>
          <w:rFonts w:ascii="Lato Regular" w:cs="Lato Regular" w:hAnsi="Lato Regular" w:eastAsia="Lato Regular"/>
          <w:color w:val="4d4d4d"/>
          <w:sz w:val="24"/>
          <w:szCs w:val="24"/>
          <w:u w:color="4d4d4d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Lato Regular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8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9"/>
          <w:tab w:val="left" w:pos="878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39"/>
          <w:tab w:val="left" w:pos="878"/>
          <w:tab w:val="left" w:pos="1317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073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39"/>
          <w:tab w:val="left" w:pos="878"/>
          <w:tab w:val="left" w:pos="1317"/>
          <w:tab w:val="left" w:pos="1756"/>
          <w:tab w:val="left" w:pos="2195"/>
          <w:tab w:val="left" w:pos="2634"/>
          <w:tab w:val="left" w:pos="3512"/>
          <w:tab w:val="left" w:pos="3951"/>
          <w:tab w:val="left" w:pos="4390"/>
          <w:tab w:val="left" w:pos="4829"/>
          <w:tab w:val="left" w:pos="5268"/>
          <w:tab w:val="left" w:pos="5707"/>
          <w:tab w:val="left" w:pos="6146"/>
          <w:tab w:val="left" w:pos="6585"/>
          <w:tab w:val="left" w:pos="7024"/>
          <w:tab w:val="left" w:pos="7463"/>
          <w:tab w:val="left" w:pos="7902"/>
          <w:tab w:val="left" w:pos="8341"/>
          <w:tab w:val="left" w:pos="8780"/>
          <w:tab w:val="left" w:pos="9132"/>
        </w:tabs>
        <w:ind w:left="3073" w:hanging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Numbered">
    <w:name w:val="Numbered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u w:val="single" w:color="4d4d4d"/>
      <w:lang w:val="en-US"/>
    </w:rPr>
  </w:style>
  <w:style w:type="character" w:styleId="Hyperlink.2">
    <w:name w:val="Hyperlink.2"/>
    <w:basedOn w:val="None"/>
    <w:next w:val="Hyperlink.2"/>
    <w:rPr>
      <w:color w:val="0000ff"/>
      <w:u w:val="single" w:color="0000ff"/>
      <w:lang w:val="de-DE"/>
    </w:rPr>
  </w:style>
  <w:style w:type="character" w:styleId="Hyperlink.3">
    <w:name w:val="Hyperlink.3"/>
    <w:basedOn w:val="None"/>
    <w:next w:val="Hyperlink.3"/>
    <w:rPr>
      <w:color w:val="3e1f32"/>
      <w:u w:val="single" w:color="3e1f32"/>
      <w:lang w:val="en-US"/>
    </w:rPr>
  </w:style>
  <w:style w:type="character" w:styleId="Hyperlink.4">
    <w:name w:val="Hyperlink.4"/>
    <w:basedOn w:val="None"/>
    <w:next w:val="Hyperlink.4"/>
    <w:rPr>
      <w:color w:val="0000ff"/>
      <w:u w:val="single" w:color="0000ff"/>
      <w:lang w:val="en-US"/>
    </w:rPr>
  </w:style>
  <w:style w:type="character" w:styleId="Hyperlink.5">
    <w:name w:val="Hyperlink.5"/>
    <w:basedOn w:val="None"/>
    <w:next w:val="Hyperlink.5"/>
    <w:rPr>
      <w:color w:val="0000ff"/>
      <w:u w:val="single" w:color="0000ff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