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83" w:rsidRPr="00C9239E" w:rsidRDefault="00420683" w:rsidP="00420683">
      <w:pPr>
        <w:jc w:val="both"/>
      </w:pPr>
      <w:r w:rsidRPr="00C9239E">
        <w:t xml:space="preserve">1. Η Δημοκρατία της Βενετίας (γενική εισαγωγή). Η διείσδυση των Βενετών στην Ανατολή. </w:t>
      </w:r>
    </w:p>
    <w:p w:rsidR="00420683" w:rsidRPr="00C9239E" w:rsidRDefault="00420683" w:rsidP="00420683">
      <w:pPr>
        <w:jc w:val="both"/>
      </w:pPr>
    </w:p>
    <w:p w:rsidR="00420683" w:rsidRPr="00C9239E" w:rsidRDefault="00A93D02" w:rsidP="00420683">
      <w:pPr>
        <w:jc w:val="both"/>
        <w:rPr>
          <w:u w:val="single"/>
        </w:rPr>
      </w:pPr>
      <w:r>
        <w:rPr>
          <w:u w:val="single"/>
        </w:rPr>
        <w:t>Θεματικές ενότητες</w:t>
      </w:r>
      <w:r w:rsidR="00420683" w:rsidRPr="00C9239E">
        <w:rPr>
          <w:u w:val="single"/>
        </w:rPr>
        <w:t xml:space="preserve">: </w:t>
      </w:r>
    </w:p>
    <w:p w:rsidR="00420683" w:rsidRPr="00C9239E" w:rsidRDefault="00420683" w:rsidP="00420683">
      <w:pPr>
        <w:pStyle w:val="a9"/>
        <w:numPr>
          <w:ilvl w:val="0"/>
          <w:numId w:val="34"/>
        </w:numPr>
        <w:jc w:val="both"/>
      </w:pPr>
      <w:r w:rsidRPr="00C9239E">
        <w:t>Η γεωφυσική θέση της Βενετίας. Η ίδρυση της πόλης της Βενετίας. Ιστοριογραφικές πηγές</w:t>
      </w:r>
    </w:p>
    <w:p w:rsidR="00420683" w:rsidRPr="00C9239E" w:rsidRDefault="00420683" w:rsidP="00420683">
      <w:pPr>
        <w:pStyle w:val="a9"/>
        <w:numPr>
          <w:ilvl w:val="0"/>
          <w:numId w:val="34"/>
        </w:numPr>
        <w:jc w:val="both"/>
      </w:pPr>
      <w:r w:rsidRPr="00C9239E">
        <w:t>Το πολιτικό σύστημα της Βενετίας</w:t>
      </w:r>
    </w:p>
    <w:p w:rsidR="00420683" w:rsidRPr="00C9239E" w:rsidRDefault="00420683" w:rsidP="00420683">
      <w:pPr>
        <w:pStyle w:val="a9"/>
        <w:numPr>
          <w:ilvl w:val="0"/>
          <w:numId w:val="34"/>
        </w:numPr>
        <w:jc w:val="both"/>
      </w:pPr>
      <w:r w:rsidRPr="00C9239E">
        <w:t xml:space="preserve">Από τη λιμνοθάλασσα της </w:t>
      </w:r>
      <w:r w:rsidR="00A93D02">
        <w:t>Αδριατικής στη θαλασσοκρατορία</w:t>
      </w:r>
    </w:p>
    <w:p w:rsidR="00420683" w:rsidRPr="00C9239E" w:rsidRDefault="00420683" w:rsidP="00420683">
      <w:pPr>
        <w:pStyle w:val="a9"/>
        <w:numPr>
          <w:ilvl w:val="0"/>
          <w:numId w:val="34"/>
        </w:numPr>
        <w:jc w:val="both"/>
      </w:pPr>
      <w:r w:rsidRPr="00C9239E">
        <w:t>Βενετία και Βυζάντιο: από τη συμμαχία στην κατάκτηση.</w:t>
      </w:r>
    </w:p>
    <w:p w:rsidR="00420683" w:rsidRPr="00C9239E" w:rsidRDefault="00420683" w:rsidP="00420683">
      <w:pPr>
        <w:pStyle w:val="a9"/>
        <w:jc w:val="both"/>
      </w:pPr>
    </w:p>
    <w:p w:rsidR="003C583A" w:rsidRPr="002E57F7" w:rsidRDefault="003C583A" w:rsidP="003C583A">
      <w:pPr>
        <w:ind w:left="360"/>
        <w:jc w:val="both"/>
        <w:rPr>
          <w:b/>
        </w:rPr>
      </w:pPr>
      <w:r w:rsidRPr="002E57F7">
        <w:t xml:space="preserve"> </w:t>
      </w:r>
      <w:r w:rsidRPr="002E57F7">
        <w:rPr>
          <w:b/>
        </w:rPr>
        <w:t>Ρωμιοί και λατίνοι: συνάντηση στον χώρο της Ανατολής πριν το έτος 1204</w:t>
      </w:r>
    </w:p>
    <w:p w:rsidR="003C583A" w:rsidRPr="002E57F7" w:rsidRDefault="003C583A" w:rsidP="003C583A">
      <w:pPr>
        <w:jc w:val="both"/>
      </w:pPr>
      <w:r w:rsidRPr="002E57F7">
        <w:t>Η ιστορία της λατινοκρατίας στον παραδοσιακά ελληνικό χώρο είναι αφενός η ιστορία του δυτικοευρωπαίου κατακτητή, του σταυροφόρου, του εμπόρου, του τυχοδιώκτη, του ναυτικού και αφετέρου η ιστορία του κατακτημένου,  πρώην υπηκόου της βυζαντινής αυτοκρατορίας από τη μια ή πρώην υπηκόου της οθωμανικής από την άλλη, που συμβίωσε για λίγα χρόνια, δεκαετίες ή και αιώνες με τον δυτικό κυρίαρχο, υπάκουσε στα ήθη και τα θέσμια εκείνου, συγχρωτίστηκε μαζί του, επηρέασε και επηρεάστηκε. Η δυτική παρουσία ήταν η αιτία για την οποία οι περιοχές της βυζαντινής αυτοκρατορίας δεν αποκόπηκαν από την παλιά ενιαία Ρωμαϊκή Αυτοκρατορία και οδήγησε τους κυριαρχούμενους στη διαμόρφωση της ρωμέϊκης ταυτότητας που αντιδιαστελλόταν από εκείνη του λατίνου δυτικού κυριάρχου.</w:t>
      </w:r>
      <w:r>
        <w:t xml:space="preserve"> </w:t>
      </w:r>
      <w:r w:rsidRPr="002E57F7">
        <w:t xml:space="preserve">Η χρονική περίοδος της λατινικών κυριαρχιών στον ελληνικό χώρο εκτείνεται σε έξι αιώνες, </w:t>
      </w:r>
      <w:r>
        <w:t xml:space="preserve">με αφετηρία </w:t>
      </w:r>
      <w:r w:rsidRPr="002E57F7">
        <w:t xml:space="preserve">τις αρχές του 13ου αιώνα (1204) και </w:t>
      </w:r>
      <w:r>
        <w:t xml:space="preserve">λήξη </w:t>
      </w:r>
      <w:r w:rsidRPr="002E57F7">
        <w:t xml:space="preserve">το τέλος του 18ου αιώνα (1797). Τα χρονικά όρια ποικίλλουν ανά γεωγραφικές περιοχές και οι τελευταίες σηματοδοτούνται από διαφορετικούς κυριάρχους ή από την εναλλαγή τους. Οι λατίνοι κυρίαρχοι ήταν δυτικοί άρχοντες που μετείχαν στην </w:t>
      </w:r>
      <w:r>
        <w:t>τέταρτη</w:t>
      </w:r>
      <w:r w:rsidRPr="002E57F7">
        <w:t xml:space="preserve"> σταυροφορία, Φράγκοι, Λομβαρδοί, Γενουάτες, Βενετσιάνοι. Οι τελευταίοι ήταν οι μακροβιότεροι και συνέχισαν να κυριαρχούν για πολύ και ισχυρά μετά την κατάλυση των λατινικών κρατιδίων</w:t>
      </w:r>
      <w:r>
        <w:t>,</w:t>
      </w:r>
      <w:r w:rsidRPr="002E57F7">
        <w:t xml:space="preserve"> γι’ αυτό μιλάμε για την περίοδο της βενετοκρατίας στον ελληνικό χώρο.</w:t>
      </w:r>
    </w:p>
    <w:p w:rsidR="003C583A" w:rsidRDefault="003C583A" w:rsidP="003C583A">
      <w:pPr>
        <w:jc w:val="both"/>
      </w:pPr>
      <w:r w:rsidRPr="002E57F7">
        <w:t xml:space="preserve">Η </w:t>
      </w:r>
      <w:r>
        <w:t xml:space="preserve">μνήμη </w:t>
      </w:r>
      <w:r w:rsidRPr="002E57F7">
        <w:t xml:space="preserve">των λατινικών κυριαρχιών </w:t>
      </w:r>
      <w:r>
        <w:t>είναι παρούσα</w:t>
      </w:r>
      <w:r w:rsidRPr="002E57F7">
        <w:t xml:space="preserve"> στον χώρο, </w:t>
      </w:r>
      <w:r>
        <w:t>σ</w:t>
      </w:r>
      <w:r w:rsidRPr="002E57F7">
        <w:t xml:space="preserve">τα γλωσσικά στοιχεία </w:t>
      </w:r>
      <w:r>
        <w:t>του</w:t>
      </w:r>
      <w:r w:rsidRPr="002E57F7">
        <w:t xml:space="preserve"> καθημεριν</w:t>
      </w:r>
      <w:r>
        <w:t xml:space="preserve">ού προφορικού </w:t>
      </w:r>
      <w:r w:rsidRPr="002E57F7">
        <w:t>λόγο</w:t>
      </w:r>
      <w:r>
        <w:t>υ</w:t>
      </w:r>
      <w:r w:rsidRPr="002E57F7">
        <w:t xml:space="preserve">, </w:t>
      </w:r>
      <w:r>
        <w:t>σ</w:t>
      </w:r>
      <w:r w:rsidRPr="002E57F7">
        <w:t xml:space="preserve">τα κείμενα των λογοτεχνικών έργων, </w:t>
      </w:r>
      <w:r>
        <w:t>σ</w:t>
      </w:r>
      <w:r w:rsidRPr="002E57F7">
        <w:t xml:space="preserve">τα εναπομείναντα συμπαγή οικιστικά συγκροτήματα. </w:t>
      </w:r>
    </w:p>
    <w:p w:rsidR="003C583A" w:rsidRDefault="003C583A" w:rsidP="003C583A">
      <w:pPr>
        <w:jc w:val="both"/>
      </w:pPr>
      <w:r w:rsidRPr="002E57F7">
        <w:t xml:space="preserve">Ποιες ήταν όμως οι σχέσεις των βυζαντινών με τους δυτικούς έως το 1204, πόσο και πού συγχρωτίζονταν μαζί τους, πόσο πολύ γνώριζε ο ένας τον άλλο και πώς διαμορφώθηκε αυτή η εικόνα με τη συμβίωση; </w:t>
      </w:r>
    </w:p>
    <w:p w:rsidR="003C583A" w:rsidRPr="00192213" w:rsidRDefault="003C583A" w:rsidP="00A93D02">
      <w:pPr>
        <w:ind w:left="780"/>
        <w:jc w:val="both"/>
        <w:rPr>
          <w:i/>
          <w:u w:val="single"/>
        </w:rPr>
      </w:pPr>
      <w:r w:rsidRPr="00192213">
        <w:rPr>
          <w:i/>
        </w:rPr>
        <w:t>Οι ναυτικές πολιτείες της βόρειας Ιταλίας και ο χώρος της ανατολικής Μεσογείου</w:t>
      </w:r>
    </w:p>
    <w:p w:rsidR="003C583A" w:rsidRDefault="003C583A" w:rsidP="003C583A">
      <w:pPr>
        <w:jc w:val="both"/>
      </w:pPr>
      <w:r>
        <w:t>Η διείσδυση των δυτικών στη βυζαντινή αυτοκρατορία ανάγεται στους προηγούμενους της τέταρτης σταυροφορίας αιώνες και ευνοήθηκε από τις συμμαχίες του Βυζαντίου με τους δυτικούς και από την εξυπηρέτηση των οικονομικών συμφερόντων των ιταλικών ναυτικών πολιτειών από τους βυζαντινούς αυτοκράτορες.</w:t>
      </w:r>
    </w:p>
    <w:p w:rsidR="003C583A" w:rsidRPr="002A6D66" w:rsidRDefault="003C583A" w:rsidP="003C583A">
      <w:pPr>
        <w:jc w:val="both"/>
      </w:pPr>
      <w:r>
        <w:rPr>
          <w:bCs/>
        </w:rPr>
        <w:t xml:space="preserve">Καθοριστικές για την τύχη της βυζαντινής αυτοκρατορίας αποδείχτηκαν οι σχέσεις της με </w:t>
      </w:r>
      <w:r w:rsidRPr="002A6D66">
        <w:t>τις ιταλικές ναυτικές πολιτείες του Βορρά και συγκεκριμένα τις πόλεις-κράτη Αμάλφη, Πίζα, Γένουα και</w:t>
      </w:r>
      <w:r>
        <w:t>,</w:t>
      </w:r>
      <w:r w:rsidRPr="002A6D66">
        <w:t xml:space="preserve"> κυρίως, τη Βενετία</w:t>
      </w:r>
      <w:r>
        <w:t xml:space="preserve">. Οι πόλεις αυτές, </w:t>
      </w:r>
      <w:r w:rsidRPr="002A6D66">
        <w:t>ανέπτυξαν πολιτική αυτονομία είτε κυβερνώμενες από αριστοκρατικές διοικήσεις, είτε διοικούμενες από δημοκρατικές αρχές και συμβούλια</w:t>
      </w:r>
      <w:r>
        <w:t xml:space="preserve"> και </w:t>
      </w:r>
      <w:r w:rsidRPr="002A6D66">
        <w:t>έστρεψαν το ενδιαφέρον τους στη θάλασσα, διεκδικώντας τον αποκλειστικό έλεγχο του διαμετακομιστικού εμπορίου και</w:t>
      </w:r>
      <w:r>
        <w:t>,</w:t>
      </w:r>
      <w:r w:rsidRPr="002A6D66">
        <w:t xml:space="preserve"> κατ’ επέκταση, της ευρωπαϊκής οικονομίας, μέσω της διείσδυσής τους στις αγορές της Ανατολής.</w:t>
      </w:r>
    </w:p>
    <w:p w:rsidR="003C583A" w:rsidRPr="00192213" w:rsidRDefault="003C583A" w:rsidP="00A93D02">
      <w:pPr>
        <w:ind w:left="780"/>
        <w:jc w:val="both"/>
        <w:rPr>
          <w:bCs/>
          <w:i/>
        </w:rPr>
      </w:pPr>
      <w:bookmarkStart w:id="0" w:name="_Toc320395244"/>
      <w:r w:rsidRPr="00192213">
        <w:rPr>
          <w:i/>
        </w:rPr>
        <w:lastRenderedPageBreak/>
        <w:t>Η Βενετία ως βυζαντινή επαρχία, ως σύμμαχος του Βυζαντίου</w:t>
      </w:r>
      <w:r w:rsidRPr="00192213">
        <w:rPr>
          <w:bCs/>
          <w:i/>
        </w:rPr>
        <w:t xml:space="preserve"> </w:t>
      </w:r>
      <w:bookmarkEnd w:id="0"/>
    </w:p>
    <w:p w:rsidR="003C583A" w:rsidRPr="002E57F7" w:rsidRDefault="003C583A" w:rsidP="003C583A">
      <w:pPr>
        <w:jc w:val="both"/>
      </w:pPr>
      <w:r w:rsidRPr="002A6D66">
        <w:t xml:space="preserve">Οι </w:t>
      </w:r>
      <w:r>
        <w:t>ιστορικές τύχες της</w:t>
      </w:r>
      <w:r w:rsidRPr="002A6D66">
        <w:t xml:space="preserve"> Βενετίας</w:t>
      </w:r>
      <w:r>
        <w:t xml:space="preserve"> είναι στενά συνδεδεμένες με το </w:t>
      </w:r>
      <w:r w:rsidRPr="002A6D66">
        <w:t>Βυζ</w:t>
      </w:r>
      <w:r>
        <w:t xml:space="preserve">άντιο. Κτήση </w:t>
      </w:r>
      <w:r w:rsidRPr="002A6D66">
        <w:t xml:space="preserve">βυζαντινή </w:t>
      </w:r>
      <w:r>
        <w:t>από τα χρόνια του Ι</w:t>
      </w:r>
      <w:r w:rsidRPr="002A6D66">
        <w:t>ουστινιανού</w:t>
      </w:r>
      <w:r>
        <w:t xml:space="preserve"> τον 6ο αιώνα</w:t>
      </w:r>
      <w:r w:rsidRPr="002A6D66">
        <w:t xml:space="preserve"> η Βενετία</w:t>
      </w:r>
      <w:r>
        <w:t>, διέρρηξε τις σχέσεις της με την αυτοκρατορία την περίοδο της εικονομαχίας αλλά στις αρχές του 9ου αιώνα, στα χρόνια του Καρλομάγνου, επέλεξε τη συμπόρευση με τον βυζαντινό αυτοκράτορα, πέτυχε την ανεξαρτησία της και βάδισε προς τη μεγάλη ακμή. Η ισχύς της πόλης ενισχύθηκε από τα εμπορικά προνόμια που έλαβε από τους αυτοκράτορες του Βυζαντίου, ως αντάλλαγμα για την παροχή ναυτικής βοήθειας στις επιχειρήσεις του στη Νότια Ιταλία. Το 992, στα χρόνια του</w:t>
      </w:r>
      <w:r w:rsidRPr="002A6D66">
        <w:t xml:space="preserve"> βενετ</w:t>
      </w:r>
      <w:r>
        <w:t>ού</w:t>
      </w:r>
      <w:r w:rsidRPr="002A6D66">
        <w:t xml:space="preserve"> </w:t>
      </w:r>
      <w:r>
        <w:t>δ</w:t>
      </w:r>
      <w:r w:rsidRPr="002A6D66">
        <w:t xml:space="preserve">όγη </w:t>
      </w:r>
      <w:r w:rsidRPr="002A6D66">
        <w:rPr>
          <w:lang w:val="en-US"/>
        </w:rPr>
        <w:t>Pietro</w:t>
      </w:r>
      <w:r w:rsidRPr="002A6D66">
        <w:t xml:space="preserve"> </w:t>
      </w:r>
      <w:r w:rsidRPr="002A6D66">
        <w:rPr>
          <w:lang w:val="en-US"/>
        </w:rPr>
        <w:t>Orseolo</w:t>
      </w:r>
      <w:r w:rsidRPr="002A6D66">
        <w:t xml:space="preserve"> 2</w:t>
      </w:r>
      <w:r w:rsidRPr="002A6D66">
        <w:rPr>
          <w:lang w:val="en-US"/>
        </w:rPr>
        <w:t>o</w:t>
      </w:r>
      <w:r>
        <w:t>υ οι</w:t>
      </w:r>
      <w:r w:rsidRPr="002A6D66">
        <w:t xml:space="preserve"> βυζαντινο</w:t>
      </w:r>
      <w:r>
        <w:t>ί</w:t>
      </w:r>
      <w:r w:rsidRPr="002A6D66">
        <w:t xml:space="preserve"> αυτοκράτορες Βασίλειο</w:t>
      </w:r>
      <w:r>
        <w:t>ς</w:t>
      </w:r>
      <w:r w:rsidRPr="002A6D66">
        <w:t xml:space="preserve"> Β΄ και Κωνσταντίνο</w:t>
      </w:r>
      <w:r>
        <w:t>ς</w:t>
      </w:r>
      <w:r w:rsidRPr="002A6D66">
        <w:t xml:space="preserve"> Η΄</w:t>
      </w:r>
      <w:r>
        <w:t xml:space="preserve"> εξέδωσαν</w:t>
      </w:r>
      <w:r w:rsidRPr="002A6D66">
        <w:t xml:space="preserve"> </w:t>
      </w:r>
      <w:r w:rsidRPr="00CC2601">
        <w:t>χρυσόβουλλο</w:t>
      </w:r>
      <w:r>
        <w:t xml:space="preserve"> με το οποίο μεγαλόθυμα παρείχαν στη βυζαντινή επαρχία εμπορικά προνόμια. Τότε ξ</w:t>
      </w:r>
      <w:r w:rsidRPr="002E57F7">
        <w:t>εκίνησε</w:t>
      </w:r>
      <w:r>
        <w:t xml:space="preserve"> όντως</w:t>
      </w:r>
      <w:r w:rsidRPr="002E57F7">
        <w:t xml:space="preserve"> μία νέα εποχή για την πόλη των τεναγών. Ανοίχτηκαν θαλάσσιοι δρόμοι για τον εμπορικό στόλο των Βενετών στην ανατολική Μεσόγειο, πέρα από τα όρια της Αδριατικής. Μειώθηκαν οι δασμοί που πλήρωναν τα βενετικά πλοία κατά τό πέρασμά τους από τα Στενά. Τα βενετικά πλοία ελέγχοντα</w:t>
      </w:r>
      <w:r>
        <w:t>ν</w:t>
      </w:r>
      <w:r w:rsidRPr="002E57F7">
        <w:t xml:space="preserve"> μόνο από τόν Λογοθέτη του Δρόμου. Μοναδικός περιορισμός</w:t>
      </w:r>
      <w:r>
        <w:t xml:space="preserve"> στις ελευθερίες τους ήταν το γεγονός ότι </w:t>
      </w:r>
      <w:r w:rsidRPr="002E57F7">
        <w:t xml:space="preserve">τα προνόμια αφορούσαν τα βενετικά πλοία που μετέφεραν μόνο εμπορεύματα της Βενετίας και μόνο στην Κωνσταντινούπολη. </w:t>
      </w:r>
      <w:r>
        <w:t xml:space="preserve">Η Βενετία παρέμενε πάντα μία </w:t>
      </w:r>
      <w:r w:rsidRPr="002E57F7">
        <w:t>επαρχία της βυζαντινής αυτοκρατορίας</w:t>
      </w:r>
      <w:r>
        <w:t xml:space="preserve"> και μετά την παροχή των προνομίων</w:t>
      </w:r>
      <w:r w:rsidRPr="002E57F7">
        <w:t>.</w:t>
      </w:r>
    </w:p>
    <w:p w:rsidR="003C583A" w:rsidRDefault="003C583A" w:rsidP="003C583A">
      <w:pPr>
        <w:jc w:val="both"/>
      </w:pPr>
      <w:r>
        <w:t xml:space="preserve">Εκατό </w:t>
      </w:r>
      <w:r w:rsidRPr="002A6D66">
        <w:t xml:space="preserve">περίπου </w:t>
      </w:r>
      <w:r>
        <w:t>χ</w:t>
      </w:r>
      <w:r w:rsidRPr="002A6D66">
        <w:t>ρόνια αρ</w:t>
      </w:r>
      <w:r>
        <w:t>γότερα ο Αλέξιος Α΄ Κομνηνός απευθύνθηκε ξανά</w:t>
      </w:r>
      <w:r w:rsidRPr="002A6D66">
        <w:t xml:space="preserve"> στους «φίλους και δούλους» του για </w:t>
      </w:r>
      <w:r>
        <w:t>την α</w:t>
      </w:r>
      <w:r w:rsidRPr="002A6D66">
        <w:t>ντιμετ</w:t>
      </w:r>
      <w:r>
        <w:t xml:space="preserve">ώπιση </w:t>
      </w:r>
      <w:r w:rsidRPr="002A6D66">
        <w:t>το</w:t>
      </w:r>
      <w:r>
        <w:t>υ</w:t>
      </w:r>
      <w:r w:rsidRPr="002A6D66">
        <w:t xml:space="preserve"> Νορμανδ</w:t>
      </w:r>
      <w:r>
        <w:t>ού</w:t>
      </w:r>
      <w:r w:rsidRPr="002A6D66">
        <w:t xml:space="preserve"> Ρο</w:t>
      </w:r>
      <w:r>
        <w:t xml:space="preserve">μπέρτο </w:t>
      </w:r>
      <w:r w:rsidRPr="002A6D66">
        <w:t xml:space="preserve"> Γ</w:t>
      </w:r>
      <w:r>
        <w:t>ο</w:t>
      </w:r>
      <w:r w:rsidRPr="002A6D66">
        <w:t>υισκάρδο</w:t>
      </w:r>
      <w:r w:rsidRPr="00CC2601">
        <w:t xml:space="preserve"> </w:t>
      </w:r>
      <w:r>
        <w:t>και τη δ</w:t>
      </w:r>
      <w:r w:rsidRPr="002E57F7">
        <w:t>ημιουργία αντινορμανδικού μετώπου</w:t>
      </w:r>
      <w:r>
        <w:t xml:space="preserve">. Η Βενετία ανταποκρίθηκε και, αν και </w:t>
      </w:r>
      <w:r w:rsidRPr="002A6D66">
        <w:t xml:space="preserve">η βοήθεια δεν </w:t>
      </w:r>
      <w:r>
        <w:t xml:space="preserve">ήταν </w:t>
      </w:r>
      <w:r w:rsidRPr="002A6D66">
        <w:t xml:space="preserve">αποτελεσματική, </w:t>
      </w:r>
      <w:r>
        <w:t xml:space="preserve">έλαβε </w:t>
      </w:r>
      <w:r w:rsidRPr="002A6D66">
        <w:t xml:space="preserve">γενναία ανταμοιβή </w:t>
      </w:r>
      <w:r>
        <w:t xml:space="preserve">που εκφράστηκε στις ρήτρες του </w:t>
      </w:r>
      <w:r w:rsidRPr="002A6D66">
        <w:t>χρυσόβουλλο</w:t>
      </w:r>
      <w:r>
        <w:t>υ του 1082</w:t>
      </w:r>
      <w:r w:rsidRPr="002A6D66">
        <w:t>,</w:t>
      </w:r>
      <w:r>
        <w:t xml:space="preserve"> έναν λε</w:t>
      </w:r>
      <w:r w:rsidRPr="002A6D66">
        <w:t>πτομερέστ</w:t>
      </w:r>
      <w:r>
        <w:t>ατο</w:t>
      </w:r>
      <w:r w:rsidRPr="002A6D66">
        <w:t xml:space="preserve"> χάρτη προνομίων που </w:t>
      </w:r>
      <w:r>
        <w:t>παραχωρήθηκαν σ</w:t>
      </w:r>
      <w:r w:rsidRPr="002A6D66">
        <w:t>τη Βενετία</w:t>
      </w:r>
      <w:r>
        <w:t>.</w:t>
      </w:r>
    </w:p>
    <w:p w:rsidR="003C583A" w:rsidRPr="002E57F7" w:rsidRDefault="003C583A" w:rsidP="003C583A">
      <w:pPr>
        <w:jc w:val="both"/>
      </w:pPr>
      <w:r>
        <w:t>Με το χρυσόβουλλο του 1082 επικυρώθηκαν τα προνόμια του</w:t>
      </w:r>
      <w:r w:rsidRPr="002E57F7">
        <w:t xml:space="preserve"> 992</w:t>
      </w:r>
      <w:r>
        <w:t xml:space="preserve"> ενώ α</w:t>
      </w:r>
      <w:r w:rsidRPr="002E57F7">
        <w:t>νοίχτηκαν δρόμοι για την οικονομική υπεροχή της Βενετίας, πιστής υπηκόου, έναντι του Βυζαντίου. Οι Βενετοί απέκτησαν ελευθερία εμπορίου, χωρίς δασμούς, σε πολλές πόλεις της αυτοκρατορίας, όχι μόνο στην Κωνσταντινούπολη και όχι μόνο για τα βενετικά προϊόντα.</w:t>
      </w:r>
      <w:r>
        <w:t xml:space="preserve"> </w:t>
      </w:r>
      <w:r w:rsidRPr="002E57F7">
        <w:t xml:space="preserve">Οι εμπορικές πόλεις ήταν : Βόνιτσα, Μεθώνη, </w:t>
      </w:r>
      <w:r w:rsidRPr="002E57F7">
        <w:rPr>
          <w:lang w:val="en-US"/>
        </w:rPr>
        <w:t>K</w:t>
      </w:r>
      <w:r w:rsidRPr="002E57F7">
        <w:t xml:space="preserve">ορώνη, Ναύπλιο, Κόρινθος, Θήβα, Αθήνα, Εύβοια, Δημητριάδα, Θεσσαλονίκη, Δυρράχιο, Χρυσούπολη, Ραιδεστός, Άβυδος, Ηράκλεια, Σηλύμβρια, Αδριανούπολη, Φώκαια, Αττάλεια, Ταρσός, Άδανα, Μάμιστρα, Αντιόχεια, Λαοδίκεια. </w:t>
      </w:r>
    </w:p>
    <w:p w:rsidR="003C583A" w:rsidRDefault="003C583A" w:rsidP="003C583A">
      <w:pPr>
        <w:jc w:val="both"/>
      </w:pPr>
      <w:r w:rsidRPr="002E57F7">
        <w:t xml:space="preserve">  Στην Κωνσταντινούπολη οι Βενετοί έμποροι έλαβαν καταστήματα, αποθήκες, εργαστήρια, τρεις αποβάθρες, την εκκλησία του αγίου Ακινδύνου, χωρίς κανένα δικαίωμα ιδιοκτησίας σε αυτά. Οι χώροι και τα κτήρια που παραχωρήθηκαν στους </w:t>
      </w:r>
      <w:r>
        <w:t>Βενετούς βρίσκονταν στο Έμβολον</w:t>
      </w:r>
      <w:r w:rsidRPr="002E57F7">
        <w:t xml:space="preserve">, κατά μήκος της ακτής του Κεράτιου κόλπου, σε θέση νευραλγική.  Στο Δυρράχιο </w:t>
      </w:r>
      <w:r>
        <w:t xml:space="preserve">πήραν </w:t>
      </w:r>
      <w:r w:rsidRPr="002E57F7">
        <w:t xml:space="preserve">την εκκλησία του αγίου Ανδρέα μαζί με την περιουσία της. Ο </w:t>
      </w:r>
      <w:r>
        <w:t>δ</w:t>
      </w:r>
      <w:r w:rsidRPr="002E57F7">
        <w:t xml:space="preserve">όγης έλαβε τον κληρονομικό τίτλο του πρωτοσέβαστου. Οι εκκλησίες της Βενετίας έλαβαν ετήσια χρηματική δωρεά. Ο </w:t>
      </w:r>
      <w:r>
        <w:t>π</w:t>
      </w:r>
      <w:r w:rsidRPr="002E57F7">
        <w:t xml:space="preserve">ατριάρχης του </w:t>
      </w:r>
      <w:r w:rsidRPr="002E57F7">
        <w:rPr>
          <w:lang w:val="en-US"/>
        </w:rPr>
        <w:t>Grado</w:t>
      </w:r>
      <w:r w:rsidRPr="002E57F7">
        <w:t xml:space="preserve">  έλαβε ετήσια αποζημίωση και τον τίτλο του υπερτίμου. Ο ναός του αγίου Μάρκου έλαβε ετήσια δωρεά </w:t>
      </w:r>
      <w:r>
        <w:t>τρία</w:t>
      </w:r>
      <w:r w:rsidRPr="002E57F7">
        <w:t xml:space="preserve"> χρυσά νομίσματα από την περιουσία των Αμαλφιτάνων της Κωνσταντινούπολης.  </w:t>
      </w:r>
      <w:r>
        <w:t xml:space="preserve">Η Βενετία παρέμενε </w:t>
      </w:r>
      <w:r w:rsidRPr="002E57F7">
        <w:t>σύμμαχος του βυζαντινού αυτοκράτορα, όχι στην ίδια θέση μαζί του, πιστή υπήκοος.</w:t>
      </w:r>
    </w:p>
    <w:p w:rsidR="003C583A" w:rsidRDefault="003C583A" w:rsidP="003C583A">
      <w:pPr>
        <w:jc w:val="both"/>
      </w:pPr>
      <w:r>
        <w:t>Τα</w:t>
      </w:r>
      <w:r w:rsidRPr="002A6D66">
        <w:t xml:space="preserve"> προνόμια του 1082 </w:t>
      </w:r>
      <w:r>
        <w:t>επικυρώθηκαν πολλές φορές στα επό</w:t>
      </w:r>
      <w:r w:rsidRPr="002A6D66">
        <w:t>μενα χρόνια, κάθε φορά που η αυτοκρατορία χρει</w:t>
      </w:r>
      <w:r>
        <w:t>αζόταν τη βοήθεια</w:t>
      </w:r>
      <w:r w:rsidRPr="002A6D66">
        <w:t xml:space="preserve"> του βενετικού στόλου.  Το 1126 αρχικά, </w:t>
      </w:r>
      <w:r>
        <w:t xml:space="preserve">κατόπιν </w:t>
      </w:r>
      <w:r w:rsidRPr="002A6D66">
        <w:t>το 1148, όταν ο Μανουήλ ζητώντας βοήθεια κατά των Νορμανδών επ</w:t>
      </w:r>
      <w:r>
        <w:t>έκτεινε</w:t>
      </w:r>
      <w:r w:rsidRPr="002A6D66">
        <w:t xml:space="preserve"> την ελεύθερη εμπορία στην Κρήτη και στην Κύπρο και επαναπροσδι</w:t>
      </w:r>
      <w:r>
        <w:t xml:space="preserve">όρισε </w:t>
      </w:r>
      <w:r w:rsidRPr="002A6D66">
        <w:t xml:space="preserve">τα όρια της βενετικής συνοικίας και το 1187, </w:t>
      </w:r>
      <w:r>
        <w:t>τότε π</w:t>
      </w:r>
      <w:r w:rsidRPr="002A6D66">
        <w:t>ου οι Βενετοί εκθειά</w:t>
      </w:r>
      <w:r>
        <w:t>στηκαν</w:t>
      </w:r>
      <w:r w:rsidRPr="002A6D66">
        <w:t xml:space="preserve"> από τον Ισαάκιο ως «προαιώνιοι σύμμαχοι, φίλοι και υποστηρικτές»</w:t>
      </w:r>
      <w:r>
        <w:t xml:space="preserve">. </w:t>
      </w:r>
    </w:p>
    <w:p w:rsidR="003C583A" w:rsidRPr="002E57F7" w:rsidRDefault="003C583A" w:rsidP="003C583A">
      <w:pPr>
        <w:jc w:val="both"/>
      </w:pPr>
      <w:r>
        <w:lastRenderedPageBreak/>
        <w:t>Το τελευταίο χ</w:t>
      </w:r>
      <w:r w:rsidRPr="002E57F7">
        <w:t>ρυσόβουλ</w:t>
      </w:r>
      <w:r>
        <w:t>λ</w:t>
      </w:r>
      <w:r w:rsidRPr="002E57F7">
        <w:t>ο</w:t>
      </w:r>
      <w:r>
        <w:t>, πριν από την τέταρτη σταυροφορία, εκδόθηκε το</w:t>
      </w:r>
      <w:r w:rsidRPr="002E57F7">
        <w:t xml:space="preserve"> 1198</w:t>
      </w:r>
      <w:r>
        <w:t xml:space="preserve"> από τον αυτοκράτορα</w:t>
      </w:r>
      <w:r w:rsidRPr="002E57F7">
        <w:t xml:space="preserve"> Αλέξιο Γ΄ Άγγελο</w:t>
      </w:r>
      <w:r>
        <w:t>. Με αυτό οι Βενετοί πέτυχαν ε</w:t>
      </w:r>
      <w:r w:rsidRPr="002E57F7">
        <w:t xml:space="preserve">πικύρωση των </w:t>
      </w:r>
      <w:r>
        <w:t>υπαρχόντων</w:t>
      </w:r>
      <w:r w:rsidRPr="002E57F7">
        <w:t xml:space="preserve"> προνομίων, επαύξηση των κεκτημένων δικαιωμάτων τ</w:t>
      </w:r>
      <w:r>
        <w:t>ους</w:t>
      </w:r>
      <w:r w:rsidRPr="002E57F7">
        <w:t xml:space="preserve"> στο Βυζάντιο</w:t>
      </w:r>
      <w:r>
        <w:t>, επέκταση του πεδίου δράσης</w:t>
      </w:r>
      <w:r w:rsidRPr="002E57F7">
        <w:t xml:space="preserve"> των Βενετών εμπόρων σε όλα τα λιμάνια της βυζαντινής Ανατολής από τα οποία είχαν αποκλειστεί το 1082.</w:t>
      </w:r>
      <w:r>
        <w:t xml:space="preserve"> </w:t>
      </w:r>
      <w:r w:rsidRPr="002E57F7">
        <w:t>Οι πόλεις που προστέθηκαν στους εμπορικούς σταθμούς ήταν: Ιωάννινα, Καστοριά, Βέροια, Πάτρα, Άργος, Διδυμότειχο, Κέρκυρα, Κεφαλονιά, Ιθάκη, Ζάκυνθος, Λευκάδα, Άνδρος, Κέα, Μήλος, Λέσβος, Χίος, Σάμος, Ρόδος, Κως, Αχρίδα, Νις, Σκόπια, βουλγαρική Ζαγορά, Στρούμιτζα, Πρίλαπος, Πελαγονία, Φιλιππούπολη, Νικομήδεια, Απολλωνία, Αδραμύττιο, Φιλαδέλφεια.</w:t>
      </w:r>
      <w:r>
        <w:t xml:space="preserve"> </w:t>
      </w:r>
      <w:r w:rsidRPr="002E57F7">
        <w:t>Οι Βενετοί μπορούσαν να φτάνουν έως την Αγχίαλο της Βουλγαρίας. Η παροικία τ</w:t>
      </w:r>
      <w:r>
        <w:t>ους</w:t>
      </w:r>
      <w:r w:rsidRPr="002E57F7">
        <w:t xml:space="preserve"> στην Κωνσταντινούπολη αναγνωρίστηκε ως μία ξένη Κοινότητα με δικαιώματα και υποχρεώσεις</w:t>
      </w:r>
      <w:r>
        <w:t xml:space="preserve">, ενώ η </w:t>
      </w:r>
      <w:r w:rsidRPr="002E57F7">
        <w:t>Β</w:t>
      </w:r>
      <w:r>
        <w:t xml:space="preserve">ενετία παρέμενε θεωρητικά </w:t>
      </w:r>
      <w:r w:rsidRPr="002E57F7">
        <w:t>σύμμαχος, ισότιμος του βυζαντινού αυτοκράτορα.</w:t>
      </w:r>
    </w:p>
    <w:p w:rsidR="003C583A" w:rsidRDefault="003C583A" w:rsidP="003C583A">
      <w:pPr>
        <w:jc w:val="both"/>
      </w:pPr>
      <w:r>
        <w:t xml:space="preserve">Η </w:t>
      </w:r>
      <w:r w:rsidRPr="002A6D66">
        <w:t xml:space="preserve">κυριαρχία της βενετικής οικονομίας </w:t>
      </w:r>
      <w:r>
        <w:t xml:space="preserve">πάνω στην αντίστοιχη </w:t>
      </w:r>
      <w:r w:rsidRPr="002A6D66">
        <w:t xml:space="preserve">βυζαντινή </w:t>
      </w:r>
      <w:r>
        <w:t>είχε ε</w:t>
      </w:r>
      <w:r w:rsidRPr="002A6D66">
        <w:t>δραιωθεί</w:t>
      </w:r>
      <w:r>
        <w:t xml:space="preserve"> και παρά τις όποιες αμφοτέρωθεν δηλώσεις για αφοσίωση και αμοιβαίο σεβασμό υπόβοσκε πάντα η καχυποψία, η αποστροφή και η εχθρότητα.</w:t>
      </w:r>
      <w:r w:rsidRPr="002A6D66">
        <w:t xml:space="preserve">  Οι πολιτισμικές διαφορές και η </w:t>
      </w:r>
      <w:r>
        <w:t xml:space="preserve">αλαζονική </w:t>
      </w:r>
      <w:r w:rsidRPr="002A6D66">
        <w:t xml:space="preserve">συμπεριφορά των </w:t>
      </w:r>
      <w:r>
        <w:t>βενετών</w:t>
      </w:r>
      <w:r w:rsidRPr="002A6D66">
        <w:t xml:space="preserve"> εμπόρων δημιουργούσαν μια έντονη αντιπάθεια κι ένα αγεφύρωτο χάσμα</w:t>
      </w:r>
      <w:r>
        <w:t xml:space="preserve">. </w:t>
      </w:r>
      <w:r w:rsidRPr="002A6D66">
        <w:t>Το 1171</w:t>
      </w:r>
      <w:r>
        <w:t xml:space="preserve"> </w:t>
      </w:r>
      <w:r w:rsidRPr="002A6D66">
        <w:t>ο αυτοκράτορας φυλ</w:t>
      </w:r>
      <w:r>
        <w:t>άκισε</w:t>
      </w:r>
      <w:r w:rsidRPr="002A6D66">
        <w:t xml:space="preserve"> τους Βενετούς της Κωνσταντινούπολης που, δυσαρεστημένοι από την παραχώρηση εμπορικών προνομίων στ</w:t>
      </w:r>
      <w:r>
        <w:t>ο αντίπαλον δέος τη Γένουα</w:t>
      </w:r>
      <w:r w:rsidRPr="002A6D66">
        <w:t>, κατ</w:t>
      </w:r>
      <w:r>
        <w:t>έστρεψαν</w:t>
      </w:r>
      <w:r w:rsidRPr="002A6D66">
        <w:t xml:space="preserve"> με τη </w:t>
      </w:r>
      <w:r>
        <w:t>βοήθεια</w:t>
      </w:r>
      <w:r w:rsidRPr="002A6D66">
        <w:t xml:space="preserve"> Πισατών και </w:t>
      </w:r>
      <w:r>
        <w:t>Βυζαντινών</w:t>
      </w:r>
      <w:r w:rsidRPr="002A6D66">
        <w:t xml:space="preserve"> τη νεοϊδρυθείσα γενουατική συνοικία</w:t>
      </w:r>
      <w:r>
        <w:t>.</w:t>
      </w:r>
      <w:r w:rsidRPr="002A6D66">
        <w:t xml:space="preserve">  Λίγο αργότερα, το 1182, ο λαός της Κωνσταντινούπολης φορτισμένος με αντιλατινικά αισθήματα, περιφρόνηση και </w:t>
      </w:r>
      <w:r>
        <w:t>μίσος</w:t>
      </w:r>
      <w:r w:rsidRPr="002A6D66">
        <w:t xml:space="preserve"> από την </w:t>
      </w:r>
      <w:r>
        <w:t xml:space="preserve">υπεροψία </w:t>
      </w:r>
      <w:r w:rsidRPr="002A6D66">
        <w:t xml:space="preserve">των ξένων εμπόρων, </w:t>
      </w:r>
      <w:r>
        <w:t>επιτέθηκε, σκότωσε, έκαψε και κατέστρεψε τις περιουσίες τους.</w:t>
      </w:r>
    </w:p>
    <w:p w:rsidR="003C583A" w:rsidRPr="002A6D66" w:rsidRDefault="003C583A" w:rsidP="003C583A">
      <w:pPr>
        <w:jc w:val="both"/>
      </w:pPr>
      <w:r w:rsidRPr="002A6D66">
        <w:t>Η ολοκληρωτική όμως απόκλιση των δύο κόσμων</w:t>
      </w:r>
      <w:r>
        <w:t xml:space="preserve"> Ανατολής και Δύσης</w:t>
      </w:r>
      <w:r w:rsidRPr="002A6D66">
        <w:t xml:space="preserve"> επήλθε το 1204 με την άλωση της Κωνσταντινούπολης από τους σταυροφόρους της Δ΄ σταυροφορίας. </w:t>
      </w:r>
      <w:r>
        <w:t>Στην απ</w:t>
      </w:r>
      <w:r w:rsidRPr="002A6D66">
        <w:t>έχθεια</w:t>
      </w:r>
      <w:r>
        <w:t xml:space="preserve"> των βυζαντινών για τους «βενέτικους» και άλλους ξένους</w:t>
      </w:r>
      <w:r w:rsidRPr="002A6D66">
        <w:t xml:space="preserve"> αντιπαρατάχθηκε το </w:t>
      </w:r>
      <w:r>
        <w:t xml:space="preserve">καταπιεσμένο μίσος των δυτικών και </w:t>
      </w:r>
      <w:r w:rsidRPr="002A6D66">
        <w:t>η απληστία σταυροφόρων και Βενετών.</w:t>
      </w:r>
    </w:p>
    <w:p w:rsidR="00AB544F" w:rsidRDefault="00AB544F" w:rsidP="00420683">
      <w:pPr>
        <w:jc w:val="both"/>
        <w:rPr>
          <w:u w:val="single"/>
        </w:rPr>
      </w:pPr>
    </w:p>
    <w:p w:rsidR="00420683" w:rsidRPr="00C9239E" w:rsidRDefault="00420683" w:rsidP="00420683">
      <w:pPr>
        <w:jc w:val="both"/>
        <w:rPr>
          <w:u w:val="single"/>
        </w:rPr>
      </w:pPr>
      <w:r w:rsidRPr="00C9239E">
        <w:rPr>
          <w:u w:val="single"/>
        </w:rPr>
        <w:t>Προτείνονται για</w:t>
      </w:r>
      <w:r w:rsidR="00AB544F">
        <w:rPr>
          <w:u w:val="single"/>
        </w:rPr>
        <w:t xml:space="preserve"> περαιτέρω </w:t>
      </w:r>
      <w:r w:rsidRPr="00C9239E">
        <w:rPr>
          <w:u w:val="single"/>
        </w:rPr>
        <w:t xml:space="preserve"> μελέτη:</w:t>
      </w:r>
    </w:p>
    <w:p w:rsidR="00420683" w:rsidRPr="00C9239E" w:rsidRDefault="00420683" w:rsidP="00420683">
      <w:pPr>
        <w:pStyle w:val="a9"/>
        <w:numPr>
          <w:ilvl w:val="0"/>
          <w:numId w:val="2"/>
        </w:numPr>
        <w:jc w:val="both"/>
      </w:pPr>
      <w:r w:rsidRPr="00C9239E">
        <w:t>Fr. Lane, Βενετία η θαλασσοκράτειρα, Αθήνα 2007, εκδ. Αλεξάνδρεια.</w:t>
      </w:r>
    </w:p>
    <w:p w:rsidR="00420683" w:rsidRDefault="00420683" w:rsidP="00420683">
      <w:pPr>
        <w:numPr>
          <w:ilvl w:val="0"/>
          <w:numId w:val="2"/>
        </w:numPr>
        <w:jc w:val="both"/>
      </w:pPr>
      <w:r w:rsidRPr="00C9239E">
        <w:rPr>
          <w:lang w:val="en-US"/>
        </w:rPr>
        <w:t>D</w:t>
      </w:r>
      <w:r w:rsidRPr="00C9239E">
        <w:t xml:space="preserve">. </w:t>
      </w:r>
      <w:r w:rsidRPr="00C9239E">
        <w:rPr>
          <w:lang w:val="en-US"/>
        </w:rPr>
        <w:t>Nicol</w:t>
      </w:r>
      <w:r w:rsidRPr="00C9239E">
        <w:t xml:space="preserve">, </w:t>
      </w:r>
      <w:r w:rsidRPr="00C9239E">
        <w:rPr>
          <w:i/>
        </w:rPr>
        <w:t>Βυζάντιο και Βενετία. Μελέτη των διπλωματικών και πολιτιστικών σχέσεων</w:t>
      </w:r>
      <w:r w:rsidRPr="00C9239E">
        <w:t>, Αθήνα 2004, εκδ. Παπαδήμα.</w:t>
      </w:r>
    </w:p>
    <w:p w:rsidR="00420683" w:rsidRPr="00C9239E" w:rsidRDefault="00420683" w:rsidP="00420683">
      <w:pPr>
        <w:numPr>
          <w:ilvl w:val="0"/>
          <w:numId w:val="2"/>
        </w:numPr>
        <w:jc w:val="both"/>
      </w:pPr>
      <w:r>
        <w:rPr>
          <w:lang w:val="en-US"/>
        </w:rPr>
        <w:t>G</w:t>
      </w:r>
      <w:r w:rsidRPr="00E86247">
        <w:t xml:space="preserve">. </w:t>
      </w:r>
      <w:r>
        <w:rPr>
          <w:lang w:val="en-US"/>
        </w:rPr>
        <w:t>Ravegnani</w:t>
      </w:r>
      <w:r w:rsidRPr="00E86247">
        <w:t xml:space="preserve">, </w:t>
      </w:r>
      <w:r>
        <w:t>«</w:t>
      </w:r>
      <w:r>
        <w:rPr>
          <w:lang w:val="en-US"/>
        </w:rPr>
        <w:t>Venezia</w:t>
      </w:r>
      <w:r w:rsidRPr="00E86247">
        <w:t xml:space="preserve"> </w:t>
      </w:r>
      <w:r>
        <w:rPr>
          <w:lang w:val="en-US"/>
        </w:rPr>
        <w:t>bizantina</w:t>
      </w:r>
      <w:r w:rsidRPr="00E86247">
        <w:t xml:space="preserve">. </w:t>
      </w:r>
      <w:r>
        <w:t xml:space="preserve">Βυζαντινή Βενετία», Οι ναυτικές πολιτείες της Ιταλίας Αμάλφη, Πίζα, Γένουα, Βενετία και η ανατολική Μεσόγειος, επιστ, επιμέλεια Ν.Γ. Μοσχονάς, Αθήνα 2008, σ. 167-193. </w:t>
      </w:r>
    </w:p>
    <w:p w:rsidR="00420683" w:rsidRDefault="00420683" w:rsidP="00420683">
      <w:pPr>
        <w:numPr>
          <w:ilvl w:val="0"/>
          <w:numId w:val="2"/>
        </w:numPr>
        <w:jc w:val="both"/>
      </w:pPr>
      <w:r w:rsidRPr="00C9239E">
        <w:t xml:space="preserve">Χ. Γάσπαρης, «Βυζάντιο και Βενετία: Η βενετική διείσδυση στην Ανατολή», </w:t>
      </w:r>
      <w:r w:rsidRPr="00C9239E">
        <w:rPr>
          <w:i/>
        </w:rPr>
        <w:t>Όψεις της ιστορίας του βενετοκρατούμενου Ελληνισμου, Αρχειακά τεκμήρια,</w:t>
      </w:r>
      <w:r w:rsidRPr="00C9239E">
        <w:t xml:space="preserve"> επιστημονική διεύθυνση Χρύσα Μαλτέζου, Αθήνα 1993, εκδ. Ιδρύματος Ελληνικού Πολιτισμού, σ. 81-117.</w:t>
      </w:r>
    </w:p>
    <w:p w:rsidR="007E22B8" w:rsidRDefault="007E22B8" w:rsidP="007E22B8">
      <w:pPr>
        <w:jc w:val="both"/>
      </w:pPr>
    </w:p>
    <w:p w:rsidR="007E22B8" w:rsidRDefault="007E22B8" w:rsidP="007E22B8">
      <w:pPr>
        <w:jc w:val="both"/>
      </w:pPr>
    </w:p>
    <w:p w:rsidR="007E22B8" w:rsidRDefault="007E22B8" w:rsidP="007E22B8">
      <w:pPr>
        <w:jc w:val="both"/>
      </w:pPr>
      <w:r>
        <w:t>Βενετία και Βυζάντιο</w:t>
      </w:r>
    </w:p>
    <w:p w:rsidR="003B47F3" w:rsidRPr="007E22B8" w:rsidRDefault="00A547FA" w:rsidP="007E22B8">
      <w:pPr>
        <w:numPr>
          <w:ilvl w:val="0"/>
          <w:numId w:val="2"/>
        </w:numPr>
        <w:jc w:val="both"/>
      </w:pPr>
      <w:r w:rsidRPr="007E22B8">
        <w:t>Η σταδιακή διείσδυση</w:t>
      </w:r>
    </w:p>
    <w:p w:rsidR="003B47F3" w:rsidRDefault="00A547FA" w:rsidP="007E22B8">
      <w:pPr>
        <w:numPr>
          <w:ilvl w:val="0"/>
          <w:numId w:val="2"/>
        </w:numPr>
        <w:jc w:val="both"/>
      </w:pPr>
      <w:r w:rsidRPr="007E22B8">
        <w:t>Οι ευκαιρίες</w:t>
      </w:r>
      <w:r w:rsidR="007E22B8">
        <w:t xml:space="preserve"> </w:t>
      </w:r>
    </w:p>
    <w:p w:rsidR="007E22B8" w:rsidRDefault="007E22B8" w:rsidP="007E22B8">
      <w:pPr>
        <w:ind w:left="720"/>
        <w:jc w:val="both"/>
      </w:pPr>
    </w:p>
    <w:p w:rsidR="007E22B8" w:rsidRPr="007E22B8" w:rsidRDefault="007E22B8" w:rsidP="007E22B8">
      <w:pPr>
        <w:jc w:val="both"/>
        <w:rPr>
          <w:b/>
        </w:rPr>
      </w:pPr>
      <w:r w:rsidRPr="007E22B8">
        <w:rPr>
          <w:b/>
        </w:rPr>
        <w:t>Χρυσόβουλο 992</w:t>
      </w:r>
    </w:p>
    <w:p w:rsidR="003B47F3" w:rsidRPr="007E22B8" w:rsidRDefault="00A547FA" w:rsidP="007E22B8">
      <w:pPr>
        <w:numPr>
          <w:ilvl w:val="0"/>
          <w:numId w:val="2"/>
        </w:numPr>
        <w:jc w:val="both"/>
      </w:pPr>
      <w:r w:rsidRPr="007E22B8">
        <w:rPr>
          <w:i/>
          <w:iCs/>
        </w:rPr>
        <w:t>Εκδόθηκε από</w:t>
      </w:r>
      <w:r w:rsidRPr="007E22B8">
        <w:t>: Βασίλειο Β’ – Κωνσταντίνο Η΄</w:t>
      </w:r>
    </w:p>
    <w:p w:rsidR="003B47F3" w:rsidRPr="007E22B8" w:rsidRDefault="00A547FA" w:rsidP="007E22B8">
      <w:pPr>
        <w:numPr>
          <w:ilvl w:val="0"/>
          <w:numId w:val="2"/>
        </w:numPr>
        <w:jc w:val="both"/>
      </w:pPr>
      <w:r w:rsidRPr="007E22B8">
        <w:rPr>
          <w:i/>
          <w:iCs/>
        </w:rPr>
        <w:t>Δόγης στη Βενετία</w:t>
      </w:r>
      <w:r w:rsidRPr="007E22B8">
        <w:t xml:space="preserve">: </w:t>
      </w:r>
      <w:r w:rsidRPr="007E22B8">
        <w:rPr>
          <w:lang w:val="en-US"/>
        </w:rPr>
        <w:t>Pietro Orseolo</w:t>
      </w:r>
      <w:r w:rsidRPr="007E22B8">
        <w:t xml:space="preserve"> 2</w:t>
      </w:r>
      <w:r w:rsidRPr="007E22B8">
        <w:rPr>
          <w:lang w:val="en-US"/>
        </w:rPr>
        <w:t>o</w:t>
      </w:r>
      <w:r w:rsidRPr="007E22B8">
        <w:t xml:space="preserve"> </w:t>
      </w:r>
    </w:p>
    <w:p w:rsidR="003B47F3" w:rsidRPr="007E22B8" w:rsidRDefault="00A547FA" w:rsidP="007E22B8">
      <w:pPr>
        <w:numPr>
          <w:ilvl w:val="0"/>
          <w:numId w:val="2"/>
        </w:numPr>
        <w:jc w:val="both"/>
      </w:pPr>
      <w:r w:rsidRPr="007E22B8">
        <w:rPr>
          <w:i/>
          <w:iCs/>
        </w:rPr>
        <w:lastRenderedPageBreak/>
        <w:t>Λόγος έκδοσης</w:t>
      </w:r>
      <w:r w:rsidRPr="007E22B8">
        <w:t>: Η προάσπιση της βυζαντινής Νότιας Ιταλίας.</w:t>
      </w:r>
    </w:p>
    <w:p w:rsidR="003B47F3" w:rsidRPr="007E22B8" w:rsidRDefault="00A547FA" w:rsidP="007E22B8">
      <w:pPr>
        <w:numPr>
          <w:ilvl w:val="0"/>
          <w:numId w:val="2"/>
        </w:numPr>
        <w:jc w:val="both"/>
      </w:pPr>
      <w:r w:rsidRPr="007E22B8">
        <w:rPr>
          <w:i/>
          <w:iCs/>
        </w:rPr>
        <w:t>Προνόμια Βενετών</w:t>
      </w:r>
      <w:r w:rsidRPr="007E22B8">
        <w:t xml:space="preserve">: Ξεκίνησε μία νέα εποχή για την πόλη των τεναγών. Ανοίχτηκαν θαλάσσιοι δρόμοι για τον εμπορικό στόλο των Βενετών στην ανατολική Μεσόγειο, πέρα από τα όρια της Αδριατικής. Μειώθηκαν οι δασμοί </w:t>
      </w:r>
      <w:bookmarkStart w:id="1" w:name="_GoBack"/>
      <w:bookmarkEnd w:id="1"/>
      <w:r w:rsidRPr="007E22B8">
        <w:t xml:space="preserve">που πλήρωναν τα βενετικά πλοία κατά τό πέρασμά τους από τα Στενά. Τα βενετικά πλοία ελέγχονται μόνο από τόν Λογοθέτη του Δρόμου. </w:t>
      </w:r>
    </w:p>
    <w:p w:rsidR="003B47F3" w:rsidRPr="007E22B8" w:rsidRDefault="00A547FA" w:rsidP="007E22B8">
      <w:pPr>
        <w:numPr>
          <w:ilvl w:val="0"/>
          <w:numId w:val="2"/>
        </w:numPr>
        <w:jc w:val="both"/>
      </w:pPr>
      <w:r w:rsidRPr="007E22B8">
        <w:t xml:space="preserve">Μοναδικός περιορισμός: τα προνόμια αφορούσαν τα βενετικά πλοία που μετέφεραν μόνο εμπορεύματα της Βενετίας και μόνο στην Κωνσταντινούπολη. </w:t>
      </w:r>
    </w:p>
    <w:p w:rsidR="003B47F3" w:rsidRDefault="00A547FA" w:rsidP="007E22B8">
      <w:pPr>
        <w:numPr>
          <w:ilvl w:val="0"/>
          <w:numId w:val="2"/>
        </w:numPr>
        <w:jc w:val="both"/>
      </w:pPr>
      <w:r w:rsidRPr="007E22B8">
        <w:rPr>
          <w:i/>
          <w:iCs/>
        </w:rPr>
        <w:t>Η θέση της Βενετίας</w:t>
      </w:r>
      <w:r w:rsidRPr="007E22B8">
        <w:t>: επαρχία της βυζαντινής αυτοκρατορίας.</w:t>
      </w:r>
    </w:p>
    <w:p w:rsidR="007E22B8" w:rsidRDefault="007E22B8" w:rsidP="007E22B8">
      <w:pPr>
        <w:jc w:val="both"/>
      </w:pPr>
    </w:p>
    <w:p w:rsidR="007E22B8" w:rsidRPr="007E22B8" w:rsidRDefault="007E22B8" w:rsidP="007E22B8">
      <w:pPr>
        <w:jc w:val="both"/>
        <w:rPr>
          <w:b/>
        </w:rPr>
      </w:pPr>
      <w:r w:rsidRPr="007E22B8">
        <w:rPr>
          <w:b/>
        </w:rPr>
        <w:t>Χρυσόβουλο 1082</w:t>
      </w:r>
    </w:p>
    <w:p w:rsidR="003B47F3" w:rsidRPr="007E22B8" w:rsidRDefault="00A547FA" w:rsidP="007E22B8">
      <w:pPr>
        <w:numPr>
          <w:ilvl w:val="0"/>
          <w:numId w:val="2"/>
        </w:numPr>
        <w:jc w:val="both"/>
      </w:pPr>
      <w:r w:rsidRPr="007E22B8">
        <w:t>Εκδόθηκε από: Αλέξιο Α΄ Κομνηνό</w:t>
      </w:r>
    </w:p>
    <w:p w:rsidR="003B47F3" w:rsidRPr="007E22B8" w:rsidRDefault="00A547FA" w:rsidP="007E22B8">
      <w:pPr>
        <w:numPr>
          <w:ilvl w:val="0"/>
          <w:numId w:val="2"/>
        </w:numPr>
        <w:jc w:val="both"/>
      </w:pPr>
      <w:r w:rsidRPr="007E22B8">
        <w:t>Λόγος έκδοσης:Δημιουργία αντινορμανδικού μετώπου με τη βοήθεια της Βενετίας</w:t>
      </w:r>
    </w:p>
    <w:p w:rsidR="003B47F3" w:rsidRPr="007E22B8" w:rsidRDefault="00A547FA" w:rsidP="007E22B8">
      <w:pPr>
        <w:numPr>
          <w:ilvl w:val="0"/>
          <w:numId w:val="2"/>
        </w:numPr>
        <w:jc w:val="both"/>
      </w:pPr>
      <w:r w:rsidRPr="007E22B8">
        <w:t>Προνόμια Βενετών: Επικύρωση των προνομίων του 992. Ανοίχτηκαν δρόμοι για την οικονομική υπεροχή της Βενετίας, πιστής υπηκόου, έναντι του Βυζαντίου. Οι Βενετοί απέκτησαν ελευθερία εμπορίου, χωρίς δασμούς, σε πολλές πόλεις της αυτοκρατορίας, όχι μόνο στην Κωνσταντινούπολη και όχι μόνο για τα βενετικά προϊόντα.</w:t>
      </w:r>
    </w:p>
    <w:p w:rsidR="003B47F3" w:rsidRDefault="00A547FA" w:rsidP="007E22B8">
      <w:pPr>
        <w:numPr>
          <w:ilvl w:val="0"/>
          <w:numId w:val="2"/>
        </w:numPr>
        <w:jc w:val="both"/>
      </w:pPr>
      <w:r w:rsidRPr="007E22B8">
        <w:t>Η θέση της Βενετίας: σύμμαχος του βυζαντινού αυτοκράτορα, όχι στην ίδια θέση μαζί του, παραμένει η πιστή υπήκοος.</w:t>
      </w:r>
    </w:p>
    <w:p w:rsidR="007E22B8" w:rsidRDefault="007E22B8" w:rsidP="007E22B8">
      <w:pPr>
        <w:jc w:val="both"/>
      </w:pPr>
    </w:p>
    <w:p w:rsidR="007E22B8" w:rsidRPr="007E22B8" w:rsidRDefault="007E22B8" w:rsidP="007E22B8">
      <w:pPr>
        <w:jc w:val="both"/>
        <w:rPr>
          <w:b/>
        </w:rPr>
      </w:pPr>
      <w:r w:rsidRPr="007E22B8">
        <w:rPr>
          <w:b/>
        </w:rPr>
        <w:t>Χρυσόβουλο 1198</w:t>
      </w:r>
    </w:p>
    <w:p w:rsidR="003B47F3" w:rsidRPr="007E22B8" w:rsidRDefault="00A547FA" w:rsidP="007E22B8">
      <w:pPr>
        <w:numPr>
          <w:ilvl w:val="0"/>
          <w:numId w:val="2"/>
        </w:numPr>
        <w:jc w:val="both"/>
      </w:pPr>
      <w:r w:rsidRPr="007E22B8">
        <w:t>Εκδόθηκε από: Αλέξιο Γ΄ Άγγελο</w:t>
      </w:r>
    </w:p>
    <w:p w:rsidR="003B47F3" w:rsidRPr="007E22B8" w:rsidRDefault="00A547FA" w:rsidP="007E22B8">
      <w:pPr>
        <w:numPr>
          <w:ilvl w:val="0"/>
          <w:numId w:val="2"/>
        </w:numPr>
        <w:jc w:val="both"/>
      </w:pPr>
      <w:r w:rsidRPr="007E22B8">
        <w:t>Λόγος έκδοσης:αποκατάσταση της Βενετίας μετά τα γεγονότα των ετών 1171, 1182</w:t>
      </w:r>
    </w:p>
    <w:p w:rsidR="003B47F3" w:rsidRPr="007E22B8" w:rsidRDefault="00A547FA" w:rsidP="007E22B8">
      <w:pPr>
        <w:numPr>
          <w:ilvl w:val="0"/>
          <w:numId w:val="2"/>
        </w:numPr>
        <w:jc w:val="both"/>
      </w:pPr>
      <w:r w:rsidRPr="007E22B8">
        <w:t>Προνόμια Βενετών: Επικύρωση των ήδη προνομίων, επαύξηση των κεκτημένων δικαιωμάτων των Βενετών στο Βυζάντιο. Επεκτάθηκε το πεδίο δράσης των Βενετών εμπόρων σε όλα τα λιμάνια της βυζαντινής Ανατολής από τα οποία είχαν αποκλειστεί το 1082.</w:t>
      </w:r>
    </w:p>
    <w:p w:rsidR="007E22B8" w:rsidRPr="007E22B8" w:rsidRDefault="007E22B8" w:rsidP="007E22B8">
      <w:pPr>
        <w:jc w:val="both"/>
      </w:pPr>
    </w:p>
    <w:p w:rsidR="007E22B8" w:rsidRPr="007E22B8" w:rsidRDefault="007E22B8" w:rsidP="007E22B8">
      <w:pPr>
        <w:ind w:left="360"/>
        <w:jc w:val="both"/>
      </w:pPr>
    </w:p>
    <w:p w:rsidR="007E22B8" w:rsidRPr="00C9239E" w:rsidRDefault="007E22B8" w:rsidP="007E22B8">
      <w:pPr>
        <w:jc w:val="both"/>
      </w:pPr>
    </w:p>
    <w:sectPr w:rsidR="007E22B8" w:rsidRPr="00C923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gMemoriesApla UC Pol">
    <w:charset w:val="00"/>
    <w:family w:val="auto"/>
    <w:pitch w:val="variable"/>
    <w:sig w:usb0="00000087" w:usb1="00000000" w:usb2="00000000" w:usb3="00000000" w:csb0="0000009B"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F80F3C"/>
    <w:lvl w:ilvl="0">
      <w:numFmt w:val="bullet"/>
      <w:lvlText w:val="*"/>
      <w:lvlJc w:val="left"/>
    </w:lvl>
  </w:abstractNum>
  <w:abstractNum w:abstractNumId="1">
    <w:nsid w:val="01350F3B"/>
    <w:multiLevelType w:val="hybridMultilevel"/>
    <w:tmpl w:val="16D89A6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
    <w:nsid w:val="0B5034BD"/>
    <w:multiLevelType w:val="hybridMultilevel"/>
    <w:tmpl w:val="D85CC2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26F6C3A"/>
    <w:multiLevelType w:val="hybridMultilevel"/>
    <w:tmpl w:val="D2BAE7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2A27A19"/>
    <w:multiLevelType w:val="hybridMultilevel"/>
    <w:tmpl w:val="DEAE71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B4B441F"/>
    <w:multiLevelType w:val="hybridMultilevel"/>
    <w:tmpl w:val="9C5AA08A"/>
    <w:lvl w:ilvl="0" w:tplc="358CA66E">
      <w:numFmt w:val="bullet"/>
      <w:lvlText w:val="•"/>
      <w:legacy w:legacy="1" w:legacySpace="0" w:legacyIndent="0"/>
      <w:lvlJc w:val="left"/>
      <w:rPr>
        <w:rFonts w:ascii="Arial" w:hAnsi="Arial" w:cs="Arial" w:hint="default"/>
        <w:sz w:val="32"/>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
    <w:nsid w:val="1F41313D"/>
    <w:multiLevelType w:val="hybridMultilevel"/>
    <w:tmpl w:val="9992DD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2183529"/>
    <w:multiLevelType w:val="hybridMultilevel"/>
    <w:tmpl w:val="4E5228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4365607"/>
    <w:multiLevelType w:val="hybridMultilevel"/>
    <w:tmpl w:val="418298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CCF30C8"/>
    <w:multiLevelType w:val="hybridMultilevel"/>
    <w:tmpl w:val="518000C6"/>
    <w:lvl w:ilvl="0" w:tplc="E6DE645E">
      <w:start w:val="1"/>
      <w:numFmt w:val="bullet"/>
      <w:lvlText w:val="•"/>
      <w:lvlJc w:val="left"/>
      <w:pPr>
        <w:tabs>
          <w:tab w:val="num" w:pos="720"/>
        </w:tabs>
        <w:ind w:left="720" w:hanging="360"/>
      </w:pPr>
      <w:rPr>
        <w:rFonts w:ascii="Times New Roman" w:hAnsi="Times New Roman" w:hint="default"/>
      </w:rPr>
    </w:lvl>
    <w:lvl w:ilvl="1" w:tplc="EFB45982" w:tentative="1">
      <w:start w:val="1"/>
      <w:numFmt w:val="bullet"/>
      <w:lvlText w:val="•"/>
      <w:lvlJc w:val="left"/>
      <w:pPr>
        <w:tabs>
          <w:tab w:val="num" w:pos="1440"/>
        </w:tabs>
        <w:ind w:left="1440" w:hanging="360"/>
      </w:pPr>
      <w:rPr>
        <w:rFonts w:ascii="Times New Roman" w:hAnsi="Times New Roman" w:hint="default"/>
      </w:rPr>
    </w:lvl>
    <w:lvl w:ilvl="2" w:tplc="55924A2E" w:tentative="1">
      <w:start w:val="1"/>
      <w:numFmt w:val="bullet"/>
      <w:lvlText w:val="•"/>
      <w:lvlJc w:val="left"/>
      <w:pPr>
        <w:tabs>
          <w:tab w:val="num" w:pos="2160"/>
        </w:tabs>
        <w:ind w:left="2160" w:hanging="360"/>
      </w:pPr>
      <w:rPr>
        <w:rFonts w:ascii="Times New Roman" w:hAnsi="Times New Roman" w:hint="default"/>
      </w:rPr>
    </w:lvl>
    <w:lvl w:ilvl="3" w:tplc="22EE4A2E" w:tentative="1">
      <w:start w:val="1"/>
      <w:numFmt w:val="bullet"/>
      <w:lvlText w:val="•"/>
      <w:lvlJc w:val="left"/>
      <w:pPr>
        <w:tabs>
          <w:tab w:val="num" w:pos="2880"/>
        </w:tabs>
        <w:ind w:left="2880" w:hanging="360"/>
      </w:pPr>
      <w:rPr>
        <w:rFonts w:ascii="Times New Roman" w:hAnsi="Times New Roman" w:hint="default"/>
      </w:rPr>
    </w:lvl>
    <w:lvl w:ilvl="4" w:tplc="19FE86DA" w:tentative="1">
      <w:start w:val="1"/>
      <w:numFmt w:val="bullet"/>
      <w:lvlText w:val="•"/>
      <w:lvlJc w:val="left"/>
      <w:pPr>
        <w:tabs>
          <w:tab w:val="num" w:pos="3600"/>
        </w:tabs>
        <w:ind w:left="3600" w:hanging="360"/>
      </w:pPr>
      <w:rPr>
        <w:rFonts w:ascii="Times New Roman" w:hAnsi="Times New Roman" w:hint="default"/>
      </w:rPr>
    </w:lvl>
    <w:lvl w:ilvl="5" w:tplc="DF403230" w:tentative="1">
      <w:start w:val="1"/>
      <w:numFmt w:val="bullet"/>
      <w:lvlText w:val="•"/>
      <w:lvlJc w:val="left"/>
      <w:pPr>
        <w:tabs>
          <w:tab w:val="num" w:pos="4320"/>
        </w:tabs>
        <w:ind w:left="4320" w:hanging="360"/>
      </w:pPr>
      <w:rPr>
        <w:rFonts w:ascii="Times New Roman" w:hAnsi="Times New Roman" w:hint="default"/>
      </w:rPr>
    </w:lvl>
    <w:lvl w:ilvl="6" w:tplc="AA8AE288" w:tentative="1">
      <w:start w:val="1"/>
      <w:numFmt w:val="bullet"/>
      <w:lvlText w:val="•"/>
      <w:lvlJc w:val="left"/>
      <w:pPr>
        <w:tabs>
          <w:tab w:val="num" w:pos="5040"/>
        </w:tabs>
        <w:ind w:left="5040" w:hanging="360"/>
      </w:pPr>
      <w:rPr>
        <w:rFonts w:ascii="Times New Roman" w:hAnsi="Times New Roman" w:hint="default"/>
      </w:rPr>
    </w:lvl>
    <w:lvl w:ilvl="7" w:tplc="2A0ECE1C" w:tentative="1">
      <w:start w:val="1"/>
      <w:numFmt w:val="bullet"/>
      <w:lvlText w:val="•"/>
      <w:lvlJc w:val="left"/>
      <w:pPr>
        <w:tabs>
          <w:tab w:val="num" w:pos="5760"/>
        </w:tabs>
        <w:ind w:left="5760" w:hanging="360"/>
      </w:pPr>
      <w:rPr>
        <w:rFonts w:ascii="Times New Roman" w:hAnsi="Times New Roman" w:hint="default"/>
      </w:rPr>
    </w:lvl>
    <w:lvl w:ilvl="8" w:tplc="A88438C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26768FD"/>
    <w:multiLevelType w:val="hybridMultilevel"/>
    <w:tmpl w:val="CBB0AE86"/>
    <w:lvl w:ilvl="0" w:tplc="04080001">
      <w:start w:val="1"/>
      <w:numFmt w:val="bullet"/>
      <w:lvlText w:val=""/>
      <w:lvlJc w:val="left"/>
      <w:pPr>
        <w:tabs>
          <w:tab w:val="num" w:pos="464"/>
        </w:tabs>
        <w:ind w:left="464"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35A3770C"/>
    <w:multiLevelType w:val="hybridMultilevel"/>
    <w:tmpl w:val="B4EE98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72C42FB"/>
    <w:multiLevelType w:val="hybridMultilevel"/>
    <w:tmpl w:val="CC682A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C22A92"/>
    <w:multiLevelType w:val="singleLevel"/>
    <w:tmpl w:val="9102851A"/>
    <w:lvl w:ilvl="0">
      <w:start w:val="1"/>
      <w:numFmt w:val="bullet"/>
      <w:lvlText w:val="•"/>
      <w:lvlJc w:val="left"/>
      <w:pPr>
        <w:tabs>
          <w:tab w:val="num" w:pos="360"/>
        </w:tabs>
        <w:ind w:left="360" w:hanging="360"/>
      </w:pPr>
      <w:rPr>
        <w:rFonts w:ascii="Times New Roman" w:hAnsi="Times New Roman" w:cs="Times New Roman" w:hint="default"/>
        <w:b w:val="0"/>
        <w:i w:val="0"/>
        <w:caps w:val="0"/>
      </w:rPr>
    </w:lvl>
  </w:abstractNum>
  <w:abstractNum w:abstractNumId="14">
    <w:nsid w:val="39F65E8D"/>
    <w:multiLevelType w:val="hybridMultilevel"/>
    <w:tmpl w:val="1CFC78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E0B7970"/>
    <w:multiLevelType w:val="hybridMultilevel"/>
    <w:tmpl w:val="275A1712"/>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6">
    <w:nsid w:val="442E5871"/>
    <w:multiLevelType w:val="hybridMultilevel"/>
    <w:tmpl w:val="523E9834"/>
    <w:lvl w:ilvl="0" w:tplc="747AF9F6">
      <w:start w:val="1"/>
      <w:numFmt w:val="bullet"/>
      <w:lvlText w:val="•"/>
      <w:lvlJc w:val="left"/>
      <w:pPr>
        <w:tabs>
          <w:tab w:val="num" w:pos="720"/>
        </w:tabs>
        <w:ind w:left="720" w:hanging="360"/>
      </w:pPr>
      <w:rPr>
        <w:rFonts w:ascii="Times New Roman" w:hAnsi="Times New Roman" w:hint="default"/>
      </w:rPr>
    </w:lvl>
    <w:lvl w:ilvl="1" w:tplc="FE9EBD5C" w:tentative="1">
      <w:start w:val="1"/>
      <w:numFmt w:val="bullet"/>
      <w:lvlText w:val="•"/>
      <w:lvlJc w:val="left"/>
      <w:pPr>
        <w:tabs>
          <w:tab w:val="num" w:pos="1440"/>
        </w:tabs>
        <w:ind w:left="1440" w:hanging="360"/>
      </w:pPr>
      <w:rPr>
        <w:rFonts w:ascii="Times New Roman" w:hAnsi="Times New Roman" w:hint="default"/>
      </w:rPr>
    </w:lvl>
    <w:lvl w:ilvl="2" w:tplc="169237AE" w:tentative="1">
      <w:start w:val="1"/>
      <w:numFmt w:val="bullet"/>
      <w:lvlText w:val="•"/>
      <w:lvlJc w:val="left"/>
      <w:pPr>
        <w:tabs>
          <w:tab w:val="num" w:pos="2160"/>
        </w:tabs>
        <w:ind w:left="2160" w:hanging="360"/>
      </w:pPr>
      <w:rPr>
        <w:rFonts w:ascii="Times New Roman" w:hAnsi="Times New Roman" w:hint="default"/>
      </w:rPr>
    </w:lvl>
    <w:lvl w:ilvl="3" w:tplc="680C0880" w:tentative="1">
      <w:start w:val="1"/>
      <w:numFmt w:val="bullet"/>
      <w:lvlText w:val="•"/>
      <w:lvlJc w:val="left"/>
      <w:pPr>
        <w:tabs>
          <w:tab w:val="num" w:pos="2880"/>
        </w:tabs>
        <w:ind w:left="2880" w:hanging="360"/>
      </w:pPr>
      <w:rPr>
        <w:rFonts w:ascii="Times New Roman" w:hAnsi="Times New Roman" w:hint="default"/>
      </w:rPr>
    </w:lvl>
    <w:lvl w:ilvl="4" w:tplc="60E8F93C" w:tentative="1">
      <w:start w:val="1"/>
      <w:numFmt w:val="bullet"/>
      <w:lvlText w:val="•"/>
      <w:lvlJc w:val="left"/>
      <w:pPr>
        <w:tabs>
          <w:tab w:val="num" w:pos="3600"/>
        </w:tabs>
        <w:ind w:left="3600" w:hanging="360"/>
      </w:pPr>
      <w:rPr>
        <w:rFonts w:ascii="Times New Roman" w:hAnsi="Times New Roman" w:hint="default"/>
      </w:rPr>
    </w:lvl>
    <w:lvl w:ilvl="5" w:tplc="20560D62" w:tentative="1">
      <w:start w:val="1"/>
      <w:numFmt w:val="bullet"/>
      <w:lvlText w:val="•"/>
      <w:lvlJc w:val="left"/>
      <w:pPr>
        <w:tabs>
          <w:tab w:val="num" w:pos="4320"/>
        </w:tabs>
        <w:ind w:left="4320" w:hanging="360"/>
      </w:pPr>
      <w:rPr>
        <w:rFonts w:ascii="Times New Roman" w:hAnsi="Times New Roman" w:hint="default"/>
      </w:rPr>
    </w:lvl>
    <w:lvl w:ilvl="6" w:tplc="E80EF1CA" w:tentative="1">
      <w:start w:val="1"/>
      <w:numFmt w:val="bullet"/>
      <w:lvlText w:val="•"/>
      <w:lvlJc w:val="left"/>
      <w:pPr>
        <w:tabs>
          <w:tab w:val="num" w:pos="5040"/>
        </w:tabs>
        <w:ind w:left="5040" w:hanging="360"/>
      </w:pPr>
      <w:rPr>
        <w:rFonts w:ascii="Times New Roman" w:hAnsi="Times New Roman" w:hint="default"/>
      </w:rPr>
    </w:lvl>
    <w:lvl w:ilvl="7" w:tplc="81AADB10" w:tentative="1">
      <w:start w:val="1"/>
      <w:numFmt w:val="bullet"/>
      <w:lvlText w:val="•"/>
      <w:lvlJc w:val="left"/>
      <w:pPr>
        <w:tabs>
          <w:tab w:val="num" w:pos="5760"/>
        </w:tabs>
        <w:ind w:left="5760" w:hanging="360"/>
      </w:pPr>
      <w:rPr>
        <w:rFonts w:ascii="Times New Roman" w:hAnsi="Times New Roman" w:hint="default"/>
      </w:rPr>
    </w:lvl>
    <w:lvl w:ilvl="8" w:tplc="7310C4D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ACA64C0"/>
    <w:multiLevelType w:val="hybridMultilevel"/>
    <w:tmpl w:val="C2E4600E"/>
    <w:lvl w:ilvl="0" w:tplc="96F80F3C">
      <w:numFmt w:val="bullet"/>
      <w:lvlText w:val="•"/>
      <w:legacy w:legacy="1" w:legacySpace="0" w:legacyIndent="0"/>
      <w:lvlJc w:val="left"/>
      <w:rPr>
        <w:rFonts w:ascii="Arial" w:hAnsi="Arial" w:cs="Arial" w:hint="default"/>
        <w:sz w:val="3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1C123F4"/>
    <w:multiLevelType w:val="hybridMultilevel"/>
    <w:tmpl w:val="F3E88D4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9">
    <w:nsid w:val="55655A9E"/>
    <w:multiLevelType w:val="hybridMultilevel"/>
    <w:tmpl w:val="DEECA0CC"/>
    <w:lvl w:ilvl="0" w:tplc="04080001">
      <w:start w:val="1"/>
      <w:numFmt w:val="bullet"/>
      <w:lvlText w:val=""/>
      <w:lvlJc w:val="left"/>
      <w:pPr>
        <w:tabs>
          <w:tab w:val="num" w:pos="568"/>
        </w:tabs>
        <w:ind w:left="568"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563D23BD"/>
    <w:multiLevelType w:val="hybridMultilevel"/>
    <w:tmpl w:val="4FB2C6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6F13544"/>
    <w:multiLevelType w:val="hybridMultilevel"/>
    <w:tmpl w:val="854AFF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AEE21EE"/>
    <w:multiLevelType w:val="hybridMultilevel"/>
    <w:tmpl w:val="E010772C"/>
    <w:lvl w:ilvl="0" w:tplc="348EAD02">
      <w:start w:val="1"/>
      <w:numFmt w:val="bullet"/>
      <w:lvlText w:val="•"/>
      <w:lvlJc w:val="left"/>
      <w:pPr>
        <w:tabs>
          <w:tab w:val="num" w:pos="720"/>
        </w:tabs>
        <w:ind w:left="720" w:hanging="360"/>
      </w:pPr>
      <w:rPr>
        <w:rFonts w:ascii="Times New Roman" w:hAnsi="Times New Roman" w:hint="default"/>
      </w:rPr>
    </w:lvl>
    <w:lvl w:ilvl="1" w:tplc="A70CE510" w:tentative="1">
      <w:start w:val="1"/>
      <w:numFmt w:val="bullet"/>
      <w:lvlText w:val="•"/>
      <w:lvlJc w:val="left"/>
      <w:pPr>
        <w:tabs>
          <w:tab w:val="num" w:pos="1440"/>
        </w:tabs>
        <w:ind w:left="1440" w:hanging="360"/>
      </w:pPr>
      <w:rPr>
        <w:rFonts w:ascii="Times New Roman" w:hAnsi="Times New Roman" w:hint="default"/>
      </w:rPr>
    </w:lvl>
    <w:lvl w:ilvl="2" w:tplc="51906512" w:tentative="1">
      <w:start w:val="1"/>
      <w:numFmt w:val="bullet"/>
      <w:lvlText w:val="•"/>
      <w:lvlJc w:val="left"/>
      <w:pPr>
        <w:tabs>
          <w:tab w:val="num" w:pos="2160"/>
        </w:tabs>
        <w:ind w:left="2160" w:hanging="360"/>
      </w:pPr>
      <w:rPr>
        <w:rFonts w:ascii="Times New Roman" w:hAnsi="Times New Roman" w:hint="default"/>
      </w:rPr>
    </w:lvl>
    <w:lvl w:ilvl="3" w:tplc="DF905948" w:tentative="1">
      <w:start w:val="1"/>
      <w:numFmt w:val="bullet"/>
      <w:lvlText w:val="•"/>
      <w:lvlJc w:val="left"/>
      <w:pPr>
        <w:tabs>
          <w:tab w:val="num" w:pos="2880"/>
        </w:tabs>
        <w:ind w:left="2880" w:hanging="360"/>
      </w:pPr>
      <w:rPr>
        <w:rFonts w:ascii="Times New Roman" w:hAnsi="Times New Roman" w:hint="default"/>
      </w:rPr>
    </w:lvl>
    <w:lvl w:ilvl="4" w:tplc="9CDC1432" w:tentative="1">
      <w:start w:val="1"/>
      <w:numFmt w:val="bullet"/>
      <w:lvlText w:val="•"/>
      <w:lvlJc w:val="left"/>
      <w:pPr>
        <w:tabs>
          <w:tab w:val="num" w:pos="3600"/>
        </w:tabs>
        <w:ind w:left="3600" w:hanging="360"/>
      </w:pPr>
      <w:rPr>
        <w:rFonts w:ascii="Times New Roman" w:hAnsi="Times New Roman" w:hint="default"/>
      </w:rPr>
    </w:lvl>
    <w:lvl w:ilvl="5" w:tplc="0FD4A38E" w:tentative="1">
      <w:start w:val="1"/>
      <w:numFmt w:val="bullet"/>
      <w:lvlText w:val="•"/>
      <w:lvlJc w:val="left"/>
      <w:pPr>
        <w:tabs>
          <w:tab w:val="num" w:pos="4320"/>
        </w:tabs>
        <w:ind w:left="4320" w:hanging="360"/>
      </w:pPr>
      <w:rPr>
        <w:rFonts w:ascii="Times New Roman" w:hAnsi="Times New Roman" w:hint="default"/>
      </w:rPr>
    </w:lvl>
    <w:lvl w:ilvl="6" w:tplc="19181750" w:tentative="1">
      <w:start w:val="1"/>
      <w:numFmt w:val="bullet"/>
      <w:lvlText w:val="•"/>
      <w:lvlJc w:val="left"/>
      <w:pPr>
        <w:tabs>
          <w:tab w:val="num" w:pos="5040"/>
        </w:tabs>
        <w:ind w:left="5040" w:hanging="360"/>
      </w:pPr>
      <w:rPr>
        <w:rFonts w:ascii="Times New Roman" w:hAnsi="Times New Roman" w:hint="default"/>
      </w:rPr>
    </w:lvl>
    <w:lvl w:ilvl="7" w:tplc="9E7A37B6" w:tentative="1">
      <w:start w:val="1"/>
      <w:numFmt w:val="bullet"/>
      <w:lvlText w:val="•"/>
      <w:lvlJc w:val="left"/>
      <w:pPr>
        <w:tabs>
          <w:tab w:val="num" w:pos="5760"/>
        </w:tabs>
        <w:ind w:left="5760" w:hanging="360"/>
      </w:pPr>
      <w:rPr>
        <w:rFonts w:ascii="Times New Roman" w:hAnsi="Times New Roman" w:hint="default"/>
      </w:rPr>
    </w:lvl>
    <w:lvl w:ilvl="8" w:tplc="B944E21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02816AB"/>
    <w:multiLevelType w:val="hybridMultilevel"/>
    <w:tmpl w:val="E9866F2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611400DB"/>
    <w:multiLevelType w:val="hybridMultilevel"/>
    <w:tmpl w:val="14EADA90"/>
    <w:lvl w:ilvl="0" w:tplc="525AD158">
      <w:start w:val="1"/>
      <w:numFmt w:val="bullet"/>
      <w:lvlText w:val="•"/>
      <w:lvlJc w:val="left"/>
      <w:pPr>
        <w:tabs>
          <w:tab w:val="num" w:pos="720"/>
        </w:tabs>
        <w:ind w:left="720" w:hanging="360"/>
      </w:pPr>
      <w:rPr>
        <w:rFonts w:ascii="Times New Roman" w:hAnsi="Times New Roman" w:hint="default"/>
      </w:rPr>
    </w:lvl>
    <w:lvl w:ilvl="1" w:tplc="C24ECB02" w:tentative="1">
      <w:start w:val="1"/>
      <w:numFmt w:val="bullet"/>
      <w:lvlText w:val="•"/>
      <w:lvlJc w:val="left"/>
      <w:pPr>
        <w:tabs>
          <w:tab w:val="num" w:pos="1440"/>
        </w:tabs>
        <w:ind w:left="1440" w:hanging="360"/>
      </w:pPr>
      <w:rPr>
        <w:rFonts w:ascii="Times New Roman" w:hAnsi="Times New Roman" w:hint="default"/>
      </w:rPr>
    </w:lvl>
    <w:lvl w:ilvl="2" w:tplc="97AE7AF4" w:tentative="1">
      <w:start w:val="1"/>
      <w:numFmt w:val="bullet"/>
      <w:lvlText w:val="•"/>
      <w:lvlJc w:val="left"/>
      <w:pPr>
        <w:tabs>
          <w:tab w:val="num" w:pos="2160"/>
        </w:tabs>
        <w:ind w:left="2160" w:hanging="360"/>
      </w:pPr>
      <w:rPr>
        <w:rFonts w:ascii="Times New Roman" w:hAnsi="Times New Roman" w:hint="default"/>
      </w:rPr>
    </w:lvl>
    <w:lvl w:ilvl="3" w:tplc="6B4E0FA8" w:tentative="1">
      <w:start w:val="1"/>
      <w:numFmt w:val="bullet"/>
      <w:lvlText w:val="•"/>
      <w:lvlJc w:val="left"/>
      <w:pPr>
        <w:tabs>
          <w:tab w:val="num" w:pos="2880"/>
        </w:tabs>
        <w:ind w:left="2880" w:hanging="360"/>
      </w:pPr>
      <w:rPr>
        <w:rFonts w:ascii="Times New Roman" w:hAnsi="Times New Roman" w:hint="default"/>
      </w:rPr>
    </w:lvl>
    <w:lvl w:ilvl="4" w:tplc="0FA6B876" w:tentative="1">
      <w:start w:val="1"/>
      <w:numFmt w:val="bullet"/>
      <w:lvlText w:val="•"/>
      <w:lvlJc w:val="left"/>
      <w:pPr>
        <w:tabs>
          <w:tab w:val="num" w:pos="3600"/>
        </w:tabs>
        <w:ind w:left="3600" w:hanging="360"/>
      </w:pPr>
      <w:rPr>
        <w:rFonts w:ascii="Times New Roman" w:hAnsi="Times New Roman" w:hint="default"/>
      </w:rPr>
    </w:lvl>
    <w:lvl w:ilvl="5" w:tplc="3BAE0C22" w:tentative="1">
      <w:start w:val="1"/>
      <w:numFmt w:val="bullet"/>
      <w:lvlText w:val="•"/>
      <w:lvlJc w:val="left"/>
      <w:pPr>
        <w:tabs>
          <w:tab w:val="num" w:pos="4320"/>
        </w:tabs>
        <w:ind w:left="4320" w:hanging="360"/>
      </w:pPr>
      <w:rPr>
        <w:rFonts w:ascii="Times New Roman" w:hAnsi="Times New Roman" w:hint="default"/>
      </w:rPr>
    </w:lvl>
    <w:lvl w:ilvl="6" w:tplc="CBC273BC" w:tentative="1">
      <w:start w:val="1"/>
      <w:numFmt w:val="bullet"/>
      <w:lvlText w:val="•"/>
      <w:lvlJc w:val="left"/>
      <w:pPr>
        <w:tabs>
          <w:tab w:val="num" w:pos="5040"/>
        </w:tabs>
        <w:ind w:left="5040" w:hanging="360"/>
      </w:pPr>
      <w:rPr>
        <w:rFonts w:ascii="Times New Roman" w:hAnsi="Times New Roman" w:hint="default"/>
      </w:rPr>
    </w:lvl>
    <w:lvl w:ilvl="7" w:tplc="5A3E9906" w:tentative="1">
      <w:start w:val="1"/>
      <w:numFmt w:val="bullet"/>
      <w:lvlText w:val="•"/>
      <w:lvlJc w:val="left"/>
      <w:pPr>
        <w:tabs>
          <w:tab w:val="num" w:pos="5760"/>
        </w:tabs>
        <w:ind w:left="5760" w:hanging="360"/>
      </w:pPr>
      <w:rPr>
        <w:rFonts w:ascii="Times New Roman" w:hAnsi="Times New Roman" w:hint="default"/>
      </w:rPr>
    </w:lvl>
    <w:lvl w:ilvl="8" w:tplc="253E223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3534230"/>
    <w:multiLevelType w:val="hybridMultilevel"/>
    <w:tmpl w:val="E5569C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D2B62FF"/>
    <w:multiLevelType w:val="hybridMultilevel"/>
    <w:tmpl w:val="4E6262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6D9665A1"/>
    <w:multiLevelType w:val="hybridMultilevel"/>
    <w:tmpl w:val="D8748D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D9E0DFC"/>
    <w:multiLevelType w:val="hybridMultilevel"/>
    <w:tmpl w:val="54F480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4A40CCA"/>
    <w:multiLevelType w:val="hybridMultilevel"/>
    <w:tmpl w:val="284E94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F7C1A3D"/>
    <w:multiLevelType w:val="hybridMultilevel"/>
    <w:tmpl w:val="D186C3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6"/>
  </w:num>
  <w:num w:numId="4">
    <w:abstractNumId w:val="10"/>
  </w:num>
  <w:num w:numId="5">
    <w:abstractNumId w:val="23"/>
  </w:num>
  <w:num w:numId="6">
    <w:abstractNumId w:val="19"/>
  </w:num>
  <w:num w:numId="7">
    <w:abstractNumId w:val="3"/>
  </w:num>
  <w:num w:numId="8">
    <w:abstractNumId w:val="27"/>
  </w:num>
  <w:num w:numId="9">
    <w:abstractNumId w:val="20"/>
  </w:num>
  <w:num w:numId="10">
    <w:abstractNumId w:val="30"/>
  </w:num>
  <w:num w:numId="11">
    <w:abstractNumId w:val="7"/>
  </w:num>
  <w:num w:numId="12">
    <w:abstractNumId w:val="4"/>
  </w:num>
  <w:num w:numId="13">
    <w:abstractNumId w:val="2"/>
  </w:num>
  <w:num w:numId="14">
    <w:abstractNumId w:val="28"/>
  </w:num>
  <w:num w:numId="15">
    <w:abstractNumId w:val="8"/>
  </w:num>
  <w:num w:numId="16">
    <w:abstractNumId w:val="1"/>
  </w:num>
  <w:num w:numId="17">
    <w:abstractNumId w:val="0"/>
    <w:lvlOverride w:ilvl="0">
      <w:lvl w:ilvl="0">
        <w:numFmt w:val="bullet"/>
        <w:lvlText w:val="•"/>
        <w:legacy w:legacy="1" w:legacySpace="0" w:legacyIndent="0"/>
        <w:lvlJc w:val="left"/>
        <w:rPr>
          <w:rFonts w:ascii="Arial" w:hAnsi="Arial" w:cs="Arial" w:hint="default"/>
          <w:sz w:val="32"/>
        </w:rPr>
      </w:lvl>
    </w:lvlOverride>
  </w:num>
  <w:num w:numId="18">
    <w:abstractNumId w:val="0"/>
    <w:lvlOverride w:ilvl="0">
      <w:lvl w:ilvl="0">
        <w:numFmt w:val="bullet"/>
        <w:lvlText w:val="•"/>
        <w:legacy w:legacy="1" w:legacySpace="0" w:legacyIndent="0"/>
        <w:lvlJc w:val="left"/>
        <w:rPr>
          <w:rFonts w:ascii="Arial" w:hAnsi="Arial" w:cs="Arial" w:hint="default"/>
          <w:sz w:val="28"/>
        </w:rPr>
      </w:lvl>
    </w:lvlOverride>
  </w:num>
  <w:num w:numId="19">
    <w:abstractNumId w:val="0"/>
    <w:lvlOverride w:ilvl="0">
      <w:lvl w:ilvl="0">
        <w:numFmt w:val="bullet"/>
        <w:lvlText w:val="•"/>
        <w:legacy w:legacy="1" w:legacySpace="0" w:legacyIndent="0"/>
        <w:lvlJc w:val="left"/>
        <w:rPr>
          <w:rFonts w:ascii="Arial" w:hAnsi="Arial" w:cs="Arial" w:hint="default"/>
          <w:sz w:val="24"/>
        </w:rPr>
      </w:lvl>
    </w:lvlOverride>
  </w:num>
  <w:num w:numId="20">
    <w:abstractNumId w:val="0"/>
    <w:lvlOverride w:ilvl="0">
      <w:lvl w:ilvl="0">
        <w:numFmt w:val="bullet"/>
        <w:lvlText w:val="•"/>
        <w:legacy w:legacy="1" w:legacySpace="0" w:legacyIndent="0"/>
        <w:lvlJc w:val="left"/>
        <w:rPr>
          <w:rFonts w:ascii="Arial" w:hAnsi="Arial" w:cs="Arial" w:hint="default"/>
          <w:sz w:val="20"/>
          <w:lang w:val="de-DE"/>
        </w:rPr>
      </w:lvl>
    </w:lvlOverride>
  </w:num>
  <w:num w:numId="21">
    <w:abstractNumId w:val="0"/>
    <w:lvlOverride w:ilvl="0">
      <w:lvl w:ilvl="0">
        <w:numFmt w:val="bullet"/>
        <w:lvlText w:val="•"/>
        <w:legacy w:legacy="1" w:legacySpace="0" w:legacyIndent="0"/>
        <w:lvlJc w:val="left"/>
        <w:rPr>
          <w:rFonts w:ascii="MgMemoriesApla UC Pol" w:hAnsi="MgMemoriesApla UC Pol" w:hint="default"/>
          <w:sz w:val="32"/>
        </w:rPr>
      </w:lvl>
    </w:lvlOverride>
  </w:num>
  <w:num w:numId="22">
    <w:abstractNumId w:val="0"/>
    <w:lvlOverride w:ilvl="0">
      <w:lvl w:ilvl="0">
        <w:numFmt w:val="bullet"/>
        <w:lvlText w:val=""/>
        <w:legacy w:legacy="1" w:legacySpace="0" w:legacyIndent="0"/>
        <w:lvlJc w:val="left"/>
        <w:rPr>
          <w:rFonts w:ascii="Symbol" w:hAnsi="Symbol" w:hint="default"/>
          <w:sz w:val="32"/>
        </w:rPr>
      </w:lvl>
    </w:lvlOverride>
  </w:num>
  <w:num w:numId="23">
    <w:abstractNumId w:val="0"/>
    <w:lvlOverride w:ilvl="0">
      <w:lvl w:ilvl="0">
        <w:numFmt w:val="bullet"/>
        <w:lvlText w:val="•"/>
        <w:legacy w:legacy="1" w:legacySpace="0" w:legacyIndent="0"/>
        <w:lvlJc w:val="left"/>
        <w:rPr>
          <w:rFonts w:ascii="Arial" w:hAnsi="Arial" w:cs="Arial" w:hint="default"/>
          <w:sz w:val="18"/>
        </w:rPr>
      </w:lvl>
    </w:lvlOverride>
  </w:num>
  <w:num w:numId="24">
    <w:abstractNumId w:val="0"/>
    <w:lvlOverride w:ilvl="0">
      <w:lvl w:ilvl="0">
        <w:numFmt w:val="bullet"/>
        <w:lvlText w:val="•"/>
        <w:legacy w:legacy="1" w:legacySpace="0" w:legacyIndent="0"/>
        <w:lvlJc w:val="left"/>
        <w:rPr>
          <w:rFonts w:ascii="Arial" w:hAnsi="Arial" w:cs="Arial" w:hint="default"/>
          <w:sz w:val="44"/>
        </w:rPr>
      </w:lvl>
    </w:lvlOverride>
  </w:num>
  <w:num w:numId="25">
    <w:abstractNumId w:val="0"/>
    <w:lvlOverride w:ilvl="0">
      <w:lvl w:ilvl="0">
        <w:numFmt w:val="bullet"/>
        <w:lvlText w:val="•"/>
        <w:legacy w:legacy="1" w:legacySpace="0" w:legacyIndent="0"/>
        <w:lvlJc w:val="left"/>
        <w:rPr>
          <w:rFonts w:ascii="Arial" w:hAnsi="Arial" w:cs="Arial" w:hint="default"/>
          <w:sz w:val="40"/>
        </w:rPr>
      </w:lvl>
    </w:lvlOverride>
  </w:num>
  <w:num w:numId="26">
    <w:abstractNumId w:val="0"/>
    <w:lvlOverride w:ilvl="0">
      <w:lvl w:ilvl="0">
        <w:numFmt w:val="bullet"/>
        <w:lvlText w:val=""/>
        <w:legacy w:legacy="1" w:legacySpace="0" w:legacyIndent="0"/>
        <w:lvlJc w:val="left"/>
        <w:rPr>
          <w:rFonts w:ascii="Symbol" w:hAnsi="Symbol" w:hint="default"/>
          <w:sz w:val="24"/>
        </w:rPr>
      </w:lvl>
    </w:lvlOverride>
  </w:num>
  <w:num w:numId="27">
    <w:abstractNumId w:val="5"/>
  </w:num>
  <w:num w:numId="28">
    <w:abstractNumId w:val="17"/>
  </w:num>
  <w:num w:numId="29">
    <w:abstractNumId w:val="26"/>
  </w:num>
  <w:num w:numId="30">
    <w:abstractNumId w:val="11"/>
  </w:num>
  <w:num w:numId="31">
    <w:abstractNumId w:val="15"/>
  </w:num>
  <w:num w:numId="32">
    <w:abstractNumId w:val="18"/>
  </w:num>
  <w:num w:numId="33">
    <w:abstractNumId w:val="13"/>
  </w:num>
  <w:num w:numId="34">
    <w:abstractNumId w:val="12"/>
  </w:num>
  <w:num w:numId="35">
    <w:abstractNumId w:val="21"/>
  </w:num>
  <w:num w:numId="36">
    <w:abstractNumId w:val="25"/>
  </w:num>
  <w:num w:numId="37">
    <w:abstractNumId w:val="9"/>
  </w:num>
  <w:num w:numId="38">
    <w:abstractNumId w:val="22"/>
  </w:num>
  <w:num w:numId="39">
    <w:abstractNumId w:val="2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3A"/>
    <w:rsid w:val="001156F7"/>
    <w:rsid w:val="003B47F3"/>
    <w:rsid w:val="003C583A"/>
    <w:rsid w:val="00420683"/>
    <w:rsid w:val="005C4A01"/>
    <w:rsid w:val="007E22B8"/>
    <w:rsid w:val="008C26DC"/>
    <w:rsid w:val="008D52F1"/>
    <w:rsid w:val="009B187A"/>
    <w:rsid w:val="009F15D2"/>
    <w:rsid w:val="00A45085"/>
    <w:rsid w:val="00A547FA"/>
    <w:rsid w:val="00A93D02"/>
    <w:rsid w:val="00AB544F"/>
    <w:rsid w:val="00C97E83"/>
    <w:rsid w:val="00CE1358"/>
    <w:rsid w:val="00EE15B7"/>
    <w:rsid w:val="00FB0E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3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3C583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583A"/>
    <w:rPr>
      <w:rFonts w:ascii="Arial" w:eastAsia="Times New Roman" w:hAnsi="Arial" w:cs="Arial"/>
      <w:b/>
      <w:bCs/>
      <w:kern w:val="32"/>
      <w:sz w:val="32"/>
      <w:szCs w:val="32"/>
      <w:lang w:eastAsia="el-GR"/>
    </w:rPr>
  </w:style>
  <w:style w:type="character" w:styleId="-">
    <w:name w:val="Hyperlink"/>
    <w:basedOn w:val="a0"/>
    <w:rsid w:val="003C583A"/>
    <w:rPr>
      <w:rFonts w:ascii="Arial" w:hAnsi="Arial" w:cs="Arial" w:hint="default"/>
      <w:color w:val="3300CC"/>
      <w:u w:val="single"/>
    </w:rPr>
  </w:style>
  <w:style w:type="paragraph" w:styleId="a3">
    <w:name w:val="footer"/>
    <w:basedOn w:val="a"/>
    <w:link w:val="Char"/>
    <w:rsid w:val="003C583A"/>
    <w:pPr>
      <w:tabs>
        <w:tab w:val="center" w:pos="4153"/>
        <w:tab w:val="right" w:pos="8306"/>
      </w:tabs>
    </w:pPr>
  </w:style>
  <w:style w:type="character" w:customStyle="1" w:styleId="Char">
    <w:name w:val="Υποσέλιδο Char"/>
    <w:basedOn w:val="a0"/>
    <w:link w:val="a3"/>
    <w:rsid w:val="003C583A"/>
    <w:rPr>
      <w:rFonts w:ascii="Times New Roman" w:eastAsia="Times New Roman" w:hAnsi="Times New Roman" w:cs="Times New Roman"/>
      <w:sz w:val="24"/>
      <w:szCs w:val="24"/>
      <w:lang w:eastAsia="el-GR"/>
    </w:rPr>
  </w:style>
  <w:style w:type="character" w:styleId="a4">
    <w:name w:val="page number"/>
    <w:basedOn w:val="a0"/>
    <w:rsid w:val="003C583A"/>
  </w:style>
  <w:style w:type="character" w:customStyle="1" w:styleId="small1">
    <w:name w:val="small1"/>
    <w:basedOn w:val="a0"/>
    <w:rsid w:val="003C583A"/>
    <w:rPr>
      <w:rFonts w:ascii="Tahoma" w:hAnsi="Tahoma" w:cs="Tahoma" w:hint="default"/>
      <w:i w:val="0"/>
      <w:iCs w:val="0"/>
      <w:strike w:val="0"/>
      <w:dstrike w:val="0"/>
      <w:color w:val="333333"/>
      <w:sz w:val="18"/>
      <w:szCs w:val="18"/>
      <w:u w:val="none"/>
      <w:effect w:val="none"/>
    </w:rPr>
  </w:style>
  <w:style w:type="table" w:styleId="a5">
    <w:name w:val="Table Grid"/>
    <w:basedOn w:val="a1"/>
    <w:rsid w:val="003C583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0"/>
    <w:semiHidden/>
    <w:rsid w:val="003C583A"/>
    <w:rPr>
      <w:sz w:val="20"/>
      <w:szCs w:val="20"/>
    </w:rPr>
  </w:style>
  <w:style w:type="character" w:customStyle="1" w:styleId="Char0">
    <w:name w:val="Κείμενο υποσημείωσης Char"/>
    <w:basedOn w:val="a0"/>
    <w:link w:val="a6"/>
    <w:semiHidden/>
    <w:rsid w:val="003C583A"/>
    <w:rPr>
      <w:rFonts w:ascii="Times New Roman" w:eastAsia="Times New Roman" w:hAnsi="Times New Roman" w:cs="Times New Roman"/>
      <w:sz w:val="20"/>
      <w:szCs w:val="20"/>
      <w:lang w:eastAsia="el-GR"/>
    </w:rPr>
  </w:style>
  <w:style w:type="character" w:styleId="a7">
    <w:name w:val="footnote reference"/>
    <w:basedOn w:val="a0"/>
    <w:semiHidden/>
    <w:unhideWhenUsed/>
    <w:rsid w:val="003C583A"/>
    <w:rPr>
      <w:vertAlign w:val="superscript"/>
    </w:rPr>
  </w:style>
  <w:style w:type="paragraph" w:styleId="a8">
    <w:name w:val="header"/>
    <w:basedOn w:val="a"/>
    <w:link w:val="Char1"/>
    <w:rsid w:val="003C583A"/>
    <w:pPr>
      <w:tabs>
        <w:tab w:val="center" w:pos="4153"/>
        <w:tab w:val="right" w:pos="8306"/>
      </w:tabs>
    </w:pPr>
  </w:style>
  <w:style w:type="character" w:customStyle="1" w:styleId="Char1">
    <w:name w:val="Κεφαλίδα Char"/>
    <w:basedOn w:val="a0"/>
    <w:link w:val="a8"/>
    <w:rsid w:val="003C583A"/>
    <w:rPr>
      <w:rFonts w:ascii="Times New Roman" w:eastAsia="Times New Roman" w:hAnsi="Times New Roman" w:cs="Times New Roman"/>
      <w:sz w:val="24"/>
      <w:szCs w:val="24"/>
      <w:lang w:eastAsia="el-GR"/>
    </w:rPr>
  </w:style>
  <w:style w:type="paragraph" w:styleId="a9">
    <w:name w:val="List Paragraph"/>
    <w:basedOn w:val="a"/>
    <w:uiPriority w:val="34"/>
    <w:qFormat/>
    <w:rsid w:val="004206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3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3C583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583A"/>
    <w:rPr>
      <w:rFonts w:ascii="Arial" w:eastAsia="Times New Roman" w:hAnsi="Arial" w:cs="Arial"/>
      <w:b/>
      <w:bCs/>
      <w:kern w:val="32"/>
      <w:sz w:val="32"/>
      <w:szCs w:val="32"/>
      <w:lang w:eastAsia="el-GR"/>
    </w:rPr>
  </w:style>
  <w:style w:type="character" w:styleId="-">
    <w:name w:val="Hyperlink"/>
    <w:basedOn w:val="a0"/>
    <w:rsid w:val="003C583A"/>
    <w:rPr>
      <w:rFonts w:ascii="Arial" w:hAnsi="Arial" w:cs="Arial" w:hint="default"/>
      <w:color w:val="3300CC"/>
      <w:u w:val="single"/>
    </w:rPr>
  </w:style>
  <w:style w:type="paragraph" w:styleId="a3">
    <w:name w:val="footer"/>
    <w:basedOn w:val="a"/>
    <w:link w:val="Char"/>
    <w:rsid w:val="003C583A"/>
    <w:pPr>
      <w:tabs>
        <w:tab w:val="center" w:pos="4153"/>
        <w:tab w:val="right" w:pos="8306"/>
      </w:tabs>
    </w:pPr>
  </w:style>
  <w:style w:type="character" w:customStyle="1" w:styleId="Char">
    <w:name w:val="Υποσέλιδο Char"/>
    <w:basedOn w:val="a0"/>
    <w:link w:val="a3"/>
    <w:rsid w:val="003C583A"/>
    <w:rPr>
      <w:rFonts w:ascii="Times New Roman" w:eastAsia="Times New Roman" w:hAnsi="Times New Roman" w:cs="Times New Roman"/>
      <w:sz w:val="24"/>
      <w:szCs w:val="24"/>
      <w:lang w:eastAsia="el-GR"/>
    </w:rPr>
  </w:style>
  <w:style w:type="character" w:styleId="a4">
    <w:name w:val="page number"/>
    <w:basedOn w:val="a0"/>
    <w:rsid w:val="003C583A"/>
  </w:style>
  <w:style w:type="character" w:customStyle="1" w:styleId="small1">
    <w:name w:val="small1"/>
    <w:basedOn w:val="a0"/>
    <w:rsid w:val="003C583A"/>
    <w:rPr>
      <w:rFonts w:ascii="Tahoma" w:hAnsi="Tahoma" w:cs="Tahoma" w:hint="default"/>
      <w:i w:val="0"/>
      <w:iCs w:val="0"/>
      <w:strike w:val="0"/>
      <w:dstrike w:val="0"/>
      <w:color w:val="333333"/>
      <w:sz w:val="18"/>
      <w:szCs w:val="18"/>
      <w:u w:val="none"/>
      <w:effect w:val="none"/>
    </w:rPr>
  </w:style>
  <w:style w:type="table" w:styleId="a5">
    <w:name w:val="Table Grid"/>
    <w:basedOn w:val="a1"/>
    <w:rsid w:val="003C583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0"/>
    <w:semiHidden/>
    <w:rsid w:val="003C583A"/>
    <w:rPr>
      <w:sz w:val="20"/>
      <w:szCs w:val="20"/>
    </w:rPr>
  </w:style>
  <w:style w:type="character" w:customStyle="1" w:styleId="Char0">
    <w:name w:val="Κείμενο υποσημείωσης Char"/>
    <w:basedOn w:val="a0"/>
    <w:link w:val="a6"/>
    <w:semiHidden/>
    <w:rsid w:val="003C583A"/>
    <w:rPr>
      <w:rFonts w:ascii="Times New Roman" w:eastAsia="Times New Roman" w:hAnsi="Times New Roman" w:cs="Times New Roman"/>
      <w:sz w:val="20"/>
      <w:szCs w:val="20"/>
      <w:lang w:eastAsia="el-GR"/>
    </w:rPr>
  </w:style>
  <w:style w:type="character" w:styleId="a7">
    <w:name w:val="footnote reference"/>
    <w:basedOn w:val="a0"/>
    <w:semiHidden/>
    <w:unhideWhenUsed/>
    <w:rsid w:val="003C583A"/>
    <w:rPr>
      <w:vertAlign w:val="superscript"/>
    </w:rPr>
  </w:style>
  <w:style w:type="paragraph" w:styleId="a8">
    <w:name w:val="header"/>
    <w:basedOn w:val="a"/>
    <w:link w:val="Char1"/>
    <w:rsid w:val="003C583A"/>
    <w:pPr>
      <w:tabs>
        <w:tab w:val="center" w:pos="4153"/>
        <w:tab w:val="right" w:pos="8306"/>
      </w:tabs>
    </w:pPr>
  </w:style>
  <w:style w:type="character" w:customStyle="1" w:styleId="Char1">
    <w:name w:val="Κεφαλίδα Char"/>
    <w:basedOn w:val="a0"/>
    <w:link w:val="a8"/>
    <w:rsid w:val="003C583A"/>
    <w:rPr>
      <w:rFonts w:ascii="Times New Roman" w:eastAsia="Times New Roman" w:hAnsi="Times New Roman" w:cs="Times New Roman"/>
      <w:sz w:val="24"/>
      <w:szCs w:val="24"/>
      <w:lang w:eastAsia="el-GR"/>
    </w:rPr>
  </w:style>
  <w:style w:type="paragraph" w:styleId="a9">
    <w:name w:val="List Paragraph"/>
    <w:basedOn w:val="a"/>
    <w:uiPriority w:val="34"/>
    <w:qFormat/>
    <w:rsid w:val="00420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335439">
      <w:bodyDiv w:val="1"/>
      <w:marLeft w:val="0"/>
      <w:marRight w:val="0"/>
      <w:marTop w:val="0"/>
      <w:marBottom w:val="0"/>
      <w:divBdr>
        <w:top w:val="none" w:sz="0" w:space="0" w:color="auto"/>
        <w:left w:val="none" w:sz="0" w:space="0" w:color="auto"/>
        <w:bottom w:val="none" w:sz="0" w:space="0" w:color="auto"/>
        <w:right w:val="none" w:sz="0" w:space="0" w:color="auto"/>
      </w:divBdr>
      <w:divsChild>
        <w:div w:id="160197624">
          <w:marLeft w:val="547"/>
          <w:marRight w:val="0"/>
          <w:marTop w:val="154"/>
          <w:marBottom w:val="0"/>
          <w:divBdr>
            <w:top w:val="none" w:sz="0" w:space="0" w:color="auto"/>
            <w:left w:val="none" w:sz="0" w:space="0" w:color="auto"/>
            <w:bottom w:val="none" w:sz="0" w:space="0" w:color="auto"/>
            <w:right w:val="none" w:sz="0" w:space="0" w:color="auto"/>
          </w:divBdr>
        </w:div>
        <w:div w:id="1822768971">
          <w:marLeft w:val="547"/>
          <w:marRight w:val="0"/>
          <w:marTop w:val="154"/>
          <w:marBottom w:val="0"/>
          <w:divBdr>
            <w:top w:val="none" w:sz="0" w:space="0" w:color="auto"/>
            <w:left w:val="none" w:sz="0" w:space="0" w:color="auto"/>
            <w:bottom w:val="none" w:sz="0" w:space="0" w:color="auto"/>
            <w:right w:val="none" w:sz="0" w:space="0" w:color="auto"/>
          </w:divBdr>
        </w:div>
      </w:divsChild>
    </w:div>
    <w:div w:id="17291090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732">
          <w:marLeft w:val="547"/>
          <w:marRight w:val="0"/>
          <w:marTop w:val="134"/>
          <w:marBottom w:val="0"/>
          <w:divBdr>
            <w:top w:val="none" w:sz="0" w:space="0" w:color="auto"/>
            <w:left w:val="none" w:sz="0" w:space="0" w:color="auto"/>
            <w:bottom w:val="none" w:sz="0" w:space="0" w:color="auto"/>
            <w:right w:val="none" w:sz="0" w:space="0" w:color="auto"/>
          </w:divBdr>
        </w:div>
        <w:div w:id="630329520">
          <w:marLeft w:val="547"/>
          <w:marRight w:val="0"/>
          <w:marTop w:val="134"/>
          <w:marBottom w:val="0"/>
          <w:divBdr>
            <w:top w:val="none" w:sz="0" w:space="0" w:color="auto"/>
            <w:left w:val="none" w:sz="0" w:space="0" w:color="auto"/>
            <w:bottom w:val="none" w:sz="0" w:space="0" w:color="auto"/>
            <w:right w:val="none" w:sz="0" w:space="0" w:color="auto"/>
          </w:divBdr>
        </w:div>
        <w:div w:id="640117820">
          <w:marLeft w:val="547"/>
          <w:marRight w:val="0"/>
          <w:marTop w:val="134"/>
          <w:marBottom w:val="0"/>
          <w:divBdr>
            <w:top w:val="none" w:sz="0" w:space="0" w:color="auto"/>
            <w:left w:val="none" w:sz="0" w:space="0" w:color="auto"/>
            <w:bottom w:val="none" w:sz="0" w:space="0" w:color="auto"/>
            <w:right w:val="none" w:sz="0" w:space="0" w:color="auto"/>
          </w:divBdr>
        </w:div>
      </w:divsChild>
    </w:div>
    <w:div w:id="1945840564">
      <w:bodyDiv w:val="1"/>
      <w:marLeft w:val="0"/>
      <w:marRight w:val="0"/>
      <w:marTop w:val="0"/>
      <w:marBottom w:val="0"/>
      <w:divBdr>
        <w:top w:val="none" w:sz="0" w:space="0" w:color="auto"/>
        <w:left w:val="none" w:sz="0" w:space="0" w:color="auto"/>
        <w:bottom w:val="none" w:sz="0" w:space="0" w:color="auto"/>
        <w:right w:val="none" w:sz="0" w:space="0" w:color="auto"/>
      </w:divBdr>
      <w:divsChild>
        <w:div w:id="537544378">
          <w:marLeft w:val="547"/>
          <w:marRight w:val="0"/>
          <w:marTop w:val="96"/>
          <w:marBottom w:val="0"/>
          <w:divBdr>
            <w:top w:val="none" w:sz="0" w:space="0" w:color="auto"/>
            <w:left w:val="none" w:sz="0" w:space="0" w:color="auto"/>
            <w:bottom w:val="none" w:sz="0" w:space="0" w:color="auto"/>
            <w:right w:val="none" w:sz="0" w:space="0" w:color="auto"/>
          </w:divBdr>
        </w:div>
        <w:div w:id="221524270">
          <w:marLeft w:val="547"/>
          <w:marRight w:val="0"/>
          <w:marTop w:val="96"/>
          <w:marBottom w:val="0"/>
          <w:divBdr>
            <w:top w:val="none" w:sz="0" w:space="0" w:color="auto"/>
            <w:left w:val="none" w:sz="0" w:space="0" w:color="auto"/>
            <w:bottom w:val="none" w:sz="0" w:space="0" w:color="auto"/>
            <w:right w:val="none" w:sz="0" w:space="0" w:color="auto"/>
          </w:divBdr>
        </w:div>
        <w:div w:id="738791596">
          <w:marLeft w:val="547"/>
          <w:marRight w:val="0"/>
          <w:marTop w:val="96"/>
          <w:marBottom w:val="0"/>
          <w:divBdr>
            <w:top w:val="none" w:sz="0" w:space="0" w:color="auto"/>
            <w:left w:val="none" w:sz="0" w:space="0" w:color="auto"/>
            <w:bottom w:val="none" w:sz="0" w:space="0" w:color="auto"/>
            <w:right w:val="none" w:sz="0" w:space="0" w:color="auto"/>
          </w:divBdr>
        </w:div>
        <w:div w:id="967318046">
          <w:marLeft w:val="547"/>
          <w:marRight w:val="0"/>
          <w:marTop w:val="96"/>
          <w:marBottom w:val="0"/>
          <w:divBdr>
            <w:top w:val="none" w:sz="0" w:space="0" w:color="auto"/>
            <w:left w:val="none" w:sz="0" w:space="0" w:color="auto"/>
            <w:bottom w:val="none" w:sz="0" w:space="0" w:color="auto"/>
            <w:right w:val="none" w:sz="0" w:space="0" w:color="auto"/>
          </w:divBdr>
        </w:div>
        <w:div w:id="2040081601">
          <w:marLeft w:val="547"/>
          <w:marRight w:val="0"/>
          <w:marTop w:val="96"/>
          <w:marBottom w:val="0"/>
          <w:divBdr>
            <w:top w:val="none" w:sz="0" w:space="0" w:color="auto"/>
            <w:left w:val="none" w:sz="0" w:space="0" w:color="auto"/>
            <w:bottom w:val="none" w:sz="0" w:space="0" w:color="auto"/>
            <w:right w:val="none" w:sz="0" w:space="0" w:color="auto"/>
          </w:divBdr>
        </w:div>
        <w:div w:id="1311326829">
          <w:marLeft w:val="547"/>
          <w:marRight w:val="0"/>
          <w:marTop w:val="96"/>
          <w:marBottom w:val="0"/>
          <w:divBdr>
            <w:top w:val="none" w:sz="0" w:space="0" w:color="auto"/>
            <w:left w:val="none" w:sz="0" w:space="0" w:color="auto"/>
            <w:bottom w:val="none" w:sz="0" w:space="0" w:color="auto"/>
            <w:right w:val="none" w:sz="0" w:space="0" w:color="auto"/>
          </w:divBdr>
        </w:div>
      </w:divsChild>
    </w:div>
    <w:div w:id="2013289999">
      <w:bodyDiv w:val="1"/>
      <w:marLeft w:val="0"/>
      <w:marRight w:val="0"/>
      <w:marTop w:val="0"/>
      <w:marBottom w:val="0"/>
      <w:divBdr>
        <w:top w:val="none" w:sz="0" w:space="0" w:color="auto"/>
        <w:left w:val="none" w:sz="0" w:space="0" w:color="auto"/>
        <w:bottom w:val="none" w:sz="0" w:space="0" w:color="auto"/>
        <w:right w:val="none" w:sz="0" w:space="0" w:color="auto"/>
      </w:divBdr>
      <w:divsChild>
        <w:div w:id="1116288679">
          <w:marLeft w:val="547"/>
          <w:marRight w:val="0"/>
          <w:marTop w:val="115"/>
          <w:marBottom w:val="0"/>
          <w:divBdr>
            <w:top w:val="none" w:sz="0" w:space="0" w:color="auto"/>
            <w:left w:val="none" w:sz="0" w:space="0" w:color="auto"/>
            <w:bottom w:val="none" w:sz="0" w:space="0" w:color="auto"/>
            <w:right w:val="none" w:sz="0" w:space="0" w:color="auto"/>
          </w:divBdr>
        </w:div>
        <w:div w:id="1045104327">
          <w:marLeft w:val="547"/>
          <w:marRight w:val="0"/>
          <w:marTop w:val="115"/>
          <w:marBottom w:val="0"/>
          <w:divBdr>
            <w:top w:val="none" w:sz="0" w:space="0" w:color="auto"/>
            <w:left w:val="none" w:sz="0" w:space="0" w:color="auto"/>
            <w:bottom w:val="none" w:sz="0" w:space="0" w:color="auto"/>
            <w:right w:val="none" w:sz="0" w:space="0" w:color="auto"/>
          </w:divBdr>
        </w:div>
        <w:div w:id="2021660012">
          <w:marLeft w:val="547"/>
          <w:marRight w:val="0"/>
          <w:marTop w:val="115"/>
          <w:marBottom w:val="0"/>
          <w:divBdr>
            <w:top w:val="none" w:sz="0" w:space="0" w:color="auto"/>
            <w:left w:val="none" w:sz="0" w:space="0" w:color="auto"/>
            <w:bottom w:val="none" w:sz="0" w:space="0" w:color="auto"/>
            <w:right w:val="none" w:sz="0" w:space="0" w:color="auto"/>
          </w:divBdr>
        </w:div>
        <w:div w:id="137712505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9497</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Strumentum_Studiorum</cp:lastModifiedBy>
  <cp:revision>2</cp:revision>
  <dcterms:created xsi:type="dcterms:W3CDTF">2018-10-30T09:15:00Z</dcterms:created>
  <dcterms:modified xsi:type="dcterms:W3CDTF">2018-10-30T09:15:00Z</dcterms:modified>
</cp:coreProperties>
</file>