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A1C" w:rsidRDefault="00803A1C" w:rsidP="006B3C0F">
      <w:pPr>
        <w:jc w:val="center"/>
        <w:rPr>
          <w:i/>
          <w:sz w:val="28"/>
          <w:szCs w:val="28"/>
        </w:rPr>
      </w:pPr>
      <w:bookmarkStart w:id="0" w:name="_GoBack"/>
      <w:bookmarkEnd w:id="0"/>
    </w:p>
    <w:p w:rsidR="00803A1C" w:rsidRPr="007D6EEC" w:rsidRDefault="00803A1C" w:rsidP="00803A1C">
      <w:pPr>
        <w:numPr>
          <w:ilvl w:val="0"/>
          <w:numId w:val="2"/>
        </w:numPr>
        <w:jc w:val="both"/>
        <w:rPr>
          <w:b/>
        </w:rPr>
      </w:pPr>
      <w:r w:rsidRPr="00C9239E">
        <w:t>5. Κοινωνική οργάνωση. Ο θεσμός των αστικών κοινοτήτων.</w:t>
      </w:r>
    </w:p>
    <w:p w:rsidR="007D6EEC" w:rsidRPr="00C9239E" w:rsidRDefault="007D6EEC" w:rsidP="007D6EEC">
      <w:pPr>
        <w:ind w:left="720"/>
        <w:jc w:val="both"/>
        <w:rPr>
          <w:b/>
        </w:rPr>
      </w:pPr>
    </w:p>
    <w:p w:rsidR="00803A1C" w:rsidRPr="00C9239E" w:rsidRDefault="00FB6A33" w:rsidP="00803A1C">
      <w:pPr>
        <w:jc w:val="both"/>
        <w:rPr>
          <w:u w:val="single"/>
        </w:rPr>
      </w:pPr>
      <w:r>
        <w:rPr>
          <w:u w:val="single"/>
        </w:rPr>
        <w:t>Θεματικές ενότητες</w:t>
      </w:r>
      <w:r w:rsidR="00803A1C" w:rsidRPr="00C9239E">
        <w:rPr>
          <w:u w:val="single"/>
        </w:rPr>
        <w:t xml:space="preserve">: </w:t>
      </w:r>
    </w:p>
    <w:p w:rsidR="00803A1C" w:rsidRPr="00C9239E" w:rsidRDefault="00803A1C" w:rsidP="00803A1C">
      <w:pPr>
        <w:numPr>
          <w:ilvl w:val="0"/>
          <w:numId w:val="2"/>
        </w:numPr>
        <w:jc w:val="both"/>
      </w:pPr>
      <w:r w:rsidRPr="00C9239E">
        <w:t>Κοινωνία και κοινωνικές τάξεις στον Μεσαίωνα.</w:t>
      </w:r>
    </w:p>
    <w:p w:rsidR="00803A1C" w:rsidRPr="00C9239E" w:rsidRDefault="00803A1C" w:rsidP="00803A1C">
      <w:pPr>
        <w:numPr>
          <w:ilvl w:val="0"/>
          <w:numId w:val="2"/>
        </w:numPr>
        <w:jc w:val="both"/>
      </w:pPr>
      <w:r w:rsidRPr="00C9239E">
        <w:t>Το αριστοκρατικό πολίτευμα της Βενετίας. Τα κεντρικά όργανα διοίκησης.</w:t>
      </w:r>
    </w:p>
    <w:p w:rsidR="00803A1C" w:rsidRPr="00C9239E" w:rsidRDefault="00803A1C" w:rsidP="00803A1C">
      <w:pPr>
        <w:numPr>
          <w:ilvl w:val="0"/>
          <w:numId w:val="2"/>
        </w:numPr>
        <w:jc w:val="both"/>
        <w:rPr>
          <w:u w:val="single"/>
        </w:rPr>
      </w:pPr>
      <w:r w:rsidRPr="00C9239E">
        <w:t xml:space="preserve">Ευγένεια και </w:t>
      </w:r>
      <w:proofErr w:type="spellStart"/>
      <w:r w:rsidRPr="00C9239E">
        <w:t>αστικότητα</w:t>
      </w:r>
      <w:proofErr w:type="spellEnd"/>
      <w:r w:rsidRPr="00C9239E">
        <w:t>.</w:t>
      </w:r>
    </w:p>
    <w:p w:rsidR="00803A1C" w:rsidRPr="00C9239E" w:rsidRDefault="00803A1C" w:rsidP="00803A1C">
      <w:pPr>
        <w:numPr>
          <w:ilvl w:val="0"/>
          <w:numId w:val="2"/>
        </w:numPr>
        <w:jc w:val="both"/>
      </w:pPr>
      <w:r w:rsidRPr="00C9239E">
        <w:t>Η κοινωνική οργάνωση στον βενετοκρατούμενο ελληνικό χώρο</w:t>
      </w:r>
    </w:p>
    <w:p w:rsidR="00803A1C" w:rsidRPr="00C9239E" w:rsidRDefault="00803A1C" w:rsidP="00803A1C">
      <w:pPr>
        <w:numPr>
          <w:ilvl w:val="0"/>
          <w:numId w:val="2"/>
        </w:numPr>
        <w:jc w:val="both"/>
      </w:pPr>
      <w:r w:rsidRPr="00C9239E">
        <w:t>Αστικές κοινότητες. Ορολογία, χαρακτηριστικά. Προϋποθέσεις συμμετοχής στα κοινοτικά όργανα</w:t>
      </w:r>
    </w:p>
    <w:p w:rsidR="00803A1C" w:rsidRDefault="00803A1C" w:rsidP="00803A1C">
      <w:pPr>
        <w:rPr>
          <w:i/>
          <w:sz w:val="28"/>
          <w:szCs w:val="28"/>
        </w:rPr>
      </w:pPr>
    </w:p>
    <w:p w:rsidR="006B3C0F" w:rsidRPr="00773DAC" w:rsidRDefault="00803A1C" w:rsidP="006B3C0F">
      <w:pPr>
        <w:pStyle w:val="1"/>
        <w:jc w:val="center"/>
        <w:rPr>
          <w:rFonts w:ascii="Times New Roman" w:hAnsi="Times New Roman" w:cs="Times New Roman"/>
          <w:sz w:val="24"/>
          <w:szCs w:val="24"/>
        </w:rPr>
      </w:pPr>
      <w:r>
        <w:rPr>
          <w:rFonts w:ascii="Times New Roman" w:hAnsi="Times New Roman" w:cs="Times New Roman"/>
          <w:sz w:val="24"/>
          <w:szCs w:val="24"/>
        </w:rPr>
        <w:t>Τ</w:t>
      </w:r>
      <w:r w:rsidR="006B3C0F" w:rsidRPr="00773DAC">
        <w:rPr>
          <w:rFonts w:ascii="Times New Roman" w:hAnsi="Times New Roman" w:cs="Times New Roman"/>
          <w:sz w:val="24"/>
          <w:szCs w:val="24"/>
        </w:rPr>
        <w:t>ο αριστοκρατικό πολίτευμα</w:t>
      </w:r>
      <w:r>
        <w:rPr>
          <w:rFonts w:ascii="Times New Roman" w:hAnsi="Times New Roman" w:cs="Times New Roman"/>
          <w:sz w:val="24"/>
          <w:szCs w:val="24"/>
        </w:rPr>
        <w:t xml:space="preserve"> της Βενετίας</w:t>
      </w:r>
    </w:p>
    <w:p w:rsidR="006B3C0F" w:rsidRDefault="006B3C0F" w:rsidP="006B3C0F">
      <w:pPr>
        <w:jc w:val="both"/>
      </w:pPr>
    </w:p>
    <w:p w:rsidR="006B3C0F" w:rsidRDefault="006B3C0F" w:rsidP="006B3C0F">
      <w:pPr>
        <w:jc w:val="center"/>
      </w:pPr>
      <w:r>
        <w:rPr>
          <w:noProof/>
          <w:u w:val="single"/>
        </w:rPr>
        <mc:AlternateContent>
          <mc:Choice Requires="wpg">
            <w:drawing>
              <wp:anchor distT="0" distB="0" distL="114300" distR="114300" simplePos="0" relativeHeight="251659264" behindDoc="0" locked="0" layoutInCell="1" allowOverlap="1">
                <wp:simplePos x="0" y="0"/>
                <wp:positionH relativeFrom="column">
                  <wp:posOffset>1230630</wp:posOffset>
                </wp:positionH>
                <wp:positionV relativeFrom="paragraph">
                  <wp:posOffset>163195</wp:posOffset>
                </wp:positionV>
                <wp:extent cx="2895600" cy="1339215"/>
                <wp:effectExtent l="11430" t="5715" r="7620" b="7620"/>
                <wp:wrapNone/>
                <wp:docPr id="1" name="Ομάδα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1339215"/>
                          <a:chOff x="3738" y="9363"/>
                          <a:chExt cx="4560" cy="2109"/>
                        </a:xfrm>
                      </wpg:grpSpPr>
                      <wps:wsp>
                        <wps:cNvPr id="2" name="Line 3"/>
                        <wps:cNvCnPr/>
                        <wps:spPr bwMode="auto">
                          <a:xfrm flipH="1">
                            <a:off x="3738" y="9363"/>
                            <a:ext cx="2166" cy="20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wps:spPr bwMode="auto">
                          <a:xfrm flipH="1" flipV="1">
                            <a:off x="3738" y="11415"/>
                            <a:ext cx="456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5904" y="9363"/>
                            <a:ext cx="2394" cy="2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Ομάδα 1" o:spid="_x0000_s1026" style="position:absolute;margin-left:96.9pt;margin-top:12.85pt;width:228pt;height:105.45pt;z-index:251659264" coordorigin="3738,9363" coordsize="4560,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">
                <v:line id="Line 3" o:spid="_x0000_s1027" style="position:absolute;flip:x;visibility:visible;mso-wrap-style:square" from="3738,9363" to="5904,1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4" o:spid="_x0000_s1028" style="position:absolute;flip:x y;visibility:visible;mso-wrap-style:square" from="3738,11415" to="8298,1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1AV8EAAADaAAAADwAAAGRycy9kb3ducmV2LnhtbESPS6vCMBSE94L/IRzBjWjqA5FqFBG8&#10;uFJ84fbQHNtic1KaXFv99ebCBZfDzHzDLFaNKcSTKpdbVjAcRCCIE6tzThVcztv+DITzyBoLy6Tg&#10;RQ5Wy3ZrgbG2NR/pefKpCBB2MSrIvC9jKV2SkUE3sCVx8O62MuiDrFKpK6wD3BRyFEVTaTDnsJBh&#10;SZuMksfp1yhA3r/Hs3pIE/lDNzfaH3rr612pbqdZz0F4avw3/N/eaQVj+LsSboBc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LUBXwQAAANoAAAAPAAAAAAAAAAAAAAAA&#10;AKECAABkcnMvZG93bnJldi54bWxQSwUGAAAAAAQABAD5AAAAjwMAAAAA&#10;"/>
                <v:line id="Line 5" o:spid="_x0000_s1029" style="position:absolute;visibility:visible;mso-wrap-style:square" from="5904,9363" to="8298,1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w:pict>
          </mc:Fallback>
        </mc:AlternateContent>
      </w:r>
    </w:p>
    <w:p w:rsidR="006B3C0F" w:rsidRDefault="006B3C0F" w:rsidP="006B3C0F">
      <w:pPr>
        <w:jc w:val="both"/>
      </w:pPr>
      <w:r>
        <w:t>Τα κεντρικά όργανα διοίκησης</w:t>
      </w:r>
    </w:p>
    <w:p w:rsidR="006B3C0F" w:rsidRDefault="006B3C0F" w:rsidP="006B3C0F">
      <w:pPr>
        <w:jc w:val="both"/>
      </w:pPr>
    </w:p>
    <w:p w:rsidR="006B3C0F" w:rsidRPr="000C36D5" w:rsidRDefault="006B3C0F" w:rsidP="006B3C0F">
      <w:pPr>
        <w:jc w:val="center"/>
        <w:rPr>
          <w:u w:val="single"/>
        </w:rPr>
      </w:pPr>
      <w:r w:rsidRPr="000C36D5">
        <w:rPr>
          <w:u w:val="single"/>
        </w:rPr>
        <w:t>Δόγης</w:t>
      </w:r>
    </w:p>
    <w:p w:rsidR="006B3C0F" w:rsidRPr="000C36D5" w:rsidRDefault="006B3C0F" w:rsidP="006B3C0F">
      <w:pPr>
        <w:jc w:val="center"/>
        <w:rPr>
          <w:u w:val="single"/>
        </w:rPr>
      </w:pPr>
      <w:proofErr w:type="spellStart"/>
      <w:r w:rsidRPr="000C36D5">
        <w:rPr>
          <w:u w:val="single"/>
        </w:rPr>
        <w:t>Δουκικό</w:t>
      </w:r>
      <w:proofErr w:type="spellEnd"/>
      <w:r w:rsidRPr="000C36D5">
        <w:rPr>
          <w:u w:val="single"/>
        </w:rPr>
        <w:t xml:space="preserve"> Συμβούλιο</w:t>
      </w:r>
    </w:p>
    <w:p w:rsidR="006B3C0F" w:rsidRPr="000C36D5" w:rsidRDefault="006B3C0F" w:rsidP="006B3C0F">
      <w:pPr>
        <w:jc w:val="center"/>
        <w:rPr>
          <w:u w:val="single"/>
        </w:rPr>
      </w:pPr>
      <w:r w:rsidRPr="000C36D5">
        <w:rPr>
          <w:u w:val="single"/>
        </w:rPr>
        <w:t>Οι Σαράντα και η Γερουσία</w:t>
      </w:r>
    </w:p>
    <w:p w:rsidR="006B3C0F" w:rsidRPr="000C36D5" w:rsidRDefault="006B3C0F" w:rsidP="006B3C0F">
      <w:pPr>
        <w:jc w:val="center"/>
        <w:rPr>
          <w:u w:val="single"/>
        </w:rPr>
      </w:pPr>
      <w:r w:rsidRPr="000C36D5">
        <w:rPr>
          <w:u w:val="single"/>
        </w:rPr>
        <w:t>Μεγάλο Συμβούλιο</w:t>
      </w:r>
    </w:p>
    <w:p w:rsidR="006B3C0F" w:rsidRDefault="006B3C0F" w:rsidP="006B3C0F">
      <w:pPr>
        <w:jc w:val="center"/>
        <w:rPr>
          <w:u w:val="single"/>
        </w:rPr>
      </w:pPr>
      <w:r w:rsidRPr="000C36D5">
        <w:rPr>
          <w:u w:val="single"/>
        </w:rPr>
        <w:t>Γενική Συνέλευση</w:t>
      </w:r>
    </w:p>
    <w:p w:rsidR="006B3C0F" w:rsidRDefault="006B3C0F" w:rsidP="006B3C0F">
      <w:pPr>
        <w:jc w:val="center"/>
        <w:rPr>
          <w:u w:val="single"/>
        </w:rPr>
      </w:pPr>
    </w:p>
    <w:p w:rsidR="006B3C0F" w:rsidRDefault="006B3C0F" w:rsidP="006B3C0F">
      <w:pPr>
        <w:jc w:val="center"/>
        <w:rPr>
          <w:u w:val="single"/>
        </w:rPr>
      </w:pPr>
    </w:p>
    <w:p w:rsidR="006B3C0F" w:rsidRDefault="006B3C0F" w:rsidP="006B3C0F">
      <w:pPr>
        <w:jc w:val="center"/>
      </w:pPr>
      <w:r>
        <w:t>Το σύνταγμα της Βενετίας</w:t>
      </w:r>
    </w:p>
    <w:p w:rsidR="006B3C0F" w:rsidRDefault="006B3C0F" w:rsidP="006B3C0F">
      <w:pPr>
        <w:jc w:val="both"/>
      </w:pPr>
      <w:r>
        <w:t>Το μεγαλείο και η αίγλη του πολιτισμού της Βενετίας ήταν προϊόν των επιμέρους πολιτικών θεσμών της Δημοκρατίας, οι οποίοι παρέμειναν αρμονικοί και αποτελεσματικοί σε όλη τη διάρκεια της ωριμότητάς της.</w:t>
      </w:r>
    </w:p>
    <w:p w:rsidR="006B3C0F" w:rsidRDefault="006B3C0F" w:rsidP="006B3C0F">
      <w:pPr>
        <w:jc w:val="both"/>
      </w:pPr>
      <w:r>
        <w:t>Αν και αυτό το πολιτικό σύστημα φτάνει στην πληρότητά του μόλις στις αρχές του 14ου αιώνα, οι βασικοί άξονες της εξέλιξής του εμφανίζονται καθαρές ήδη έναν αιώνα νωρίτερα.</w:t>
      </w:r>
    </w:p>
    <w:p w:rsidR="006B3C0F" w:rsidRDefault="006B3C0F" w:rsidP="006B3C0F">
      <w:pPr>
        <w:jc w:val="both"/>
      </w:pPr>
      <w:r>
        <w:t xml:space="preserve">Από τον 13ο αιώνα </w:t>
      </w:r>
      <w:proofErr w:type="spellStart"/>
      <w:r>
        <w:t>ώς</w:t>
      </w:r>
      <w:proofErr w:type="spellEnd"/>
      <w:r>
        <w:t xml:space="preserve"> την πτώση της </w:t>
      </w:r>
      <w:proofErr w:type="spellStart"/>
      <w:r>
        <w:t>Γαληνοτάτης</w:t>
      </w:r>
      <w:proofErr w:type="spellEnd"/>
      <w:r>
        <w:t xml:space="preserve"> τον 18ο αιώνα δεν υπήρξαν ρήγματα συνέχειας στη συνταγματική οργάνωση.</w:t>
      </w:r>
    </w:p>
    <w:p w:rsidR="006B3C0F" w:rsidRDefault="006B3C0F" w:rsidP="006B3C0F">
      <w:pPr>
        <w:jc w:val="both"/>
      </w:pPr>
      <w:r>
        <w:t xml:space="preserve">Η βενετική Δημοκρατία οργανώθηκε αργά επάνω στην έκταση του παλιού βυζαντινού Δουκάτου, στο οποίο ο Δόγης που συγκέντρωνε στα χέρια του την εκτελεστική εξουσία και τη στρατιωτική δύναμη ήταν ο παλαιός ιεράρχης που εξαρτιόταν από τον Έξαρχο της </w:t>
      </w:r>
      <w:proofErr w:type="spellStart"/>
      <w:r>
        <w:t>Ραβένας</w:t>
      </w:r>
      <w:proofErr w:type="spellEnd"/>
      <w:r>
        <w:t>, καθώς η αυτοκρατορία δεν ήταν σε θέση να ελέγξει τις μακρινές περιοχές. Για αιώνες οι ευκαιριακές επισκέψεις του στόλου αποτελούσαν τη μοναδική έκφραση της παρουσίας του και της αμφίβολης προστασίας του και έτσι οι κάτοικοι της λιμνοθάλασσας έπρεπε να προβλέπουν πάντα με τρόπο αυτόνομο  για την οργάνωση και την άμυνά τους ενώ ο δόγης εξελισσόταν από βυζαντινός στρατιωτικός διοικητής σε πρίγκιπα και τοπικό κύριο.</w:t>
      </w:r>
    </w:p>
    <w:p w:rsidR="006B3C0F" w:rsidRDefault="006B3C0F" w:rsidP="006B3C0F">
      <w:pPr>
        <w:jc w:val="both"/>
      </w:pPr>
      <w:r>
        <w:t>Από τη διάλυση της βυζαντινής αυτοκρατορίας εμφανιζόταν λοιπόν στη λιμνοθάλασσα, πολύ χρόνο πριν τη γέννηση της Κοινότητας στην Ιταλία, ένα ανεξάρτητο Πριγκιπάτο, που αποκτούσε από τις αρχές της ρωμαϊκής και ανατολικής  παράδοσης ένα συναίσθημα πολύ ισχυρό τόσο για την εδαφική του έκταση όσο και για τη κυριαρχία του εσωτερική και εξωτερική.</w:t>
      </w:r>
    </w:p>
    <w:p w:rsidR="006B3C0F" w:rsidRDefault="006B3C0F" w:rsidP="006B3C0F">
      <w:pPr>
        <w:jc w:val="both"/>
      </w:pPr>
      <w:r>
        <w:t xml:space="preserve">Στην ιστορία των ιταλικών κοινοτήτων υπήρξε λοιπόν μια εξέλιξη κάτω από ορισμένες προϋποθέσεις εντελώς διαφορετική από την εξέλιξη της Δημοκρατίας. </w:t>
      </w:r>
      <w:r>
        <w:lastRenderedPageBreak/>
        <w:t>Αλλού, μετά το Χίλια, ως συνέπεια της κοινοτικής επανάστασης, εκτοπίστηκε ο φεουδάρχης: ο δόγης αντίθετα αφομοιώθηκε από το πολιτικό κοινοτικό σύστημα.</w:t>
      </w:r>
    </w:p>
    <w:p w:rsidR="006B3C0F" w:rsidRDefault="006B3C0F" w:rsidP="006B3C0F">
      <w:pPr>
        <w:jc w:val="both"/>
      </w:pPr>
      <w:r>
        <w:t>Είναι αυτές οι μακρινές εξελίξεις που μας βοηθούν να κατανοήσουμε το συνταγματικό πλαίσιο της Δημοκρατίας τις παραμονές της «</w:t>
      </w:r>
      <w:proofErr w:type="spellStart"/>
      <w:r>
        <w:rPr>
          <w:lang w:val="en-US"/>
        </w:rPr>
        <w:t>Serrata</w:t>
      </w:r>
      <w:proofErr w:type="spellEnd"/>
      <w:r>
        <w:t>» που θεσμοθέτησε τη βαθειά αλλαγή στη συνταγματική βενετική τάξη.</w:t>
      </w:r>
    </w:p>
    <w:p w:rsidR="006B3C0F" w:rsidRDefault="006B3C0F" w:rsidP="006B3C0F">
      <w:pPr>
        <w:jc w:val="both"/>
      </w:pPr>
      <w:r>
        <w:t>Αν στις αρχές του 13ου αιώνα η αριστοκρατία των εμπόρων συνιστούσε ακόμα μια ομογενή κοινωνική τάξη εξαιτίας του πλούτου και των ενδιαφερόντων της στο πρώτο μισό του αιώνα εκείνη η ενότητα χάθηκε και κάποιες οικογένειες που είχαν πλουτίσει με την υποστήριξη του λαού, αναζήτησαν και βρήκαν την στήριξη μιας νέας εξουσίας.</w:t>
      </w:r>
    </w:p>
    <w:p w:rsidR="006B3C0F" w:rsidRDefault="006B3C0F" w:rsidP="006B3C0F">
      <w:pPr>
        <w:jc w:val="both"/>
      </w:pPr>
      <w:r>
        <w:t>Όλος ο 13ος αι. χαρακτηρίζεται από τον αγώνα ανάμεσα στη μεγάλη και την ελάσσονα αριστοκρατία έως ότου στις αρχές του 14ου αι. το σύνολο των νομοθετικών ρυθμίσεων, γνωστό ως «</w:t>
      </w:r>
      <w:proofErr w:type="spellStart"/>
      <w:r>
        <w:rPr>
          <w:lang w:val="en-US"/>
        </w:rPr>
        <w:t>Serrata</w:t>
      </w:r>
      <w:proofErr w:type="spellEnd"/>
      <w:r w:rsidRPr="00C80D83">
        <w:t xml:space="preserve"> </w:t>
      </w:r>
      <w:r>
        <w:rPr>
          <w:lang w:val="en-US"/>
        </w:rPr>
        <w:t>del</w:t>
      </w:r>
      <w:r w:rsidRPr="00C80D83">
        <w:t xml:space="preserve"> </w:t>
      </w:r>
      <w:proofErr w:type="spellStart"/>
      <w:r>
        <w:rPr>
          <w:lang w:val="en-US"/>
        </w:rPr>
        <w:t>Maggior</w:t>
      </w:r>
      <w:proofErr w:type="spellEnd"/>
      <w:r w:rsidRPr="00C80D83">
        <w:t xml:space="preserve"> </w:t>
      </w:r>
      <w:proofErr w:type="spellStart"/>
      <w:r>
        <w:rPr>
          <w:lang w:val="en-US"/>
        </w:rPr>
        <w:t>Consiglio</w:t>
      </w:r>
      <w:proofErr w:type="spellEnd"/>
      <w:r>
        <w:t xml:space="preserve">», καθιέρωσε τη νίκη της μεσαίας και κατώτερης αριστοκρατίας. </w:t>
      </w:r>
    </w:p>
    <w:p w:rsidR="006B3C0F" w:rsidRDefault="006B3C0F" w:rsidP="006B3C0F">
      <w:pPr>
        <w:jc w:val="both"/>
      </w:pPr>
      <w:r>
        <w:t>Το Μείζον Συμβούλιο δεν ήταν πια εκλεκτορικό, σε αυτό ανήκαν χωρίς εκλογές όλα τα αρσενικά πρεσβύτερα μέλη των ευγενών οικογενειών.</w:t>
      </w:r>
    </w:p>
    <w:p w:rsidR="006B3C0F" w:rsidRPr="001458F7" w:rsidRDefault="006B3C0F" w:rsidP="006B3C0F">
      <w:pPr>
        <w:jc w:val="both"/>
      </w:pPr>
      <w:r>
        <w:t xml:space="preserve">Το Μείζον Συμβούλιο θα συνεχίσει έως την πτώση της Δημοκρατίας να εκλέγει συμβούλια και αξιωματούχους και όλη η ιεραρχία των βενετών αξιωματούχων  θα αναδύεται εφεξής από μια ετήσια εκλογή δική του.  </w:t>
      </w:r>
    </w:p>
    <w:p w:rsidR="006B3C0F" w:rsidRDefault="006B3C0F" w:rsidP="006B3C0F">
      <w:pPr>
        <w:jc w:val="center"/>
      </w:pPr>
    </w:p>
    <w:p w:rsidR="006B3C0F" w:rsidRDefault="006B3C0F" w:rsidP="006B3C0F">
      <w:pPr>
        <w:jc w:val="center"/>
      </w:pPr>
      <w:r>
        <w:t>Τα συνταγματικά όργανα</w:t>
      </w:r>
    </w:p>
    <w:p w:rsidR="006B3C0F" w:rsidRPr="00E3665C" w:rsidRDefault="006B3C0F" w:rsidP="006B3C0F">
      <w:pPr>
        <w:jc w:val="both"/>
        <w:rPr>
          <w:b/>
        </w:rPr>
      </w:pPr>
      <w:r w:rsidRPr="00E3665C">
        <w:rPr>
          <w:b/>
        </w:rPr>
        <w:t>Ο Δόγης</w:t>
      </w:r>
    </w:p>
    <w:p w:rsidR="006B3C0F" w:rsidRDefault="006B3C0F" w:rsidP="006B3C0F">
      <w:pPr>
        <w:jc w:val="both"/>
      </w:pPr>
      <w:r>
        <w:t>Ο Δόγης δεν ήταν άλλος παρά ο παλαιός βυζαντινός δούκας στον οποίο αρχικά ανήκαν αρμοδιότητες στρατιωτικές, πολιτικές και δικαστικές.</w:t>
      </w:r>
    </w:p>
    <w:p w:rsidR="006B3C0F" w:rsidRDefault="006B3C0F" w:rsidP="006B3C0F">
      <w:pPr>
        <w:jc w:val="both"/>
      </w:pPr>
      <w:r>
        <w:t xml:space="preserve">Ο δόγης ο οποίος κατοικούσε στην αρχή στην </w:t>
      </w:r>
      <w:proofErr w:type="spellStart"/>
      <w:r>
        <w:rPr>
          <w:lang w:val="en-US"/>
        </w:rPr>
        <w:t>Civitas</w:t>
      </w:r>
      <w:proofErr w:type="spellEnd"/>
      <w:r w:rsidRPr="00C80D83">
        <w:t xml:space="preserve"> </w:t>
      </w:r>
      <w:r>
        <w:rPr>
          <w:lang w:val="en-US"/>
        </w:rPr>
        <w:t>nova</w:t>
      </w:r>
      <w:r w:rsidRPr="00C80D83">
        <w:t xml:space="preserve"> </w:t>
      </w:r>
      <w:proofErr w:type="spellStart"/>
      <w:r>
        <w:rPr>
          <w:lang w:val="en-US"/>
        </w:rPr>
        <w:t>Eracleiana</w:t>
      </w:r>
      <w:proofErr w:type="spellEnd"/>
      <w:r w:rsidRPr="00C80D83">
        <w:t xml:space="preserve">, </w:t>
      </w:r>
      <w:r>
        <w:t xml:space="preserve">κατόπιν στο </w:t>
      </w:r>
      <w:proofErr w:type="spellStart"/>
      <w:r>
        <w:rPr>
          <w:lang w:val="en-US"/>
        </w:rPr>
        <w:t>Malamocco</w:t>
      </w:r>
      <w:proofErr w:type="spellEnd"/>
      <w:r w:rsidRPr="00C80D83">
        <w:t xml:space="preserve"> </w:t>
      </w:r>
      <w:r>
        <w:t xml:space="preserve">και τέλος από το 811 στο </w:t>
      </w:r>
      <w:proofErr w:type="spellStart"/>
      <w:r>
        <w:rPr>
          <w:lang w:val="en-US"/>
        </w:rPr>
        <w:t>Rivoalto</w:t>
      </w:r>
      <w:proofErr w:type="spellEnd"/>
      <w:r>
        <w:t>, εκλεγόταν ισοβίως όπως οι ρωμαίοι και οι βυζαντινοί αυτοκράτορες, είχε ως αρμοδιότητα να ορίζει τους φόρους, να διαχειρίζεται τη δημόσια περιουσία, να καθορίζει τα πιο σημαντικά αξιώματα ακούγοντας τη γνώμη του λαού και των επισκόπων. Το αξίωμα έγινε σχεδόν κληρονομικό όταν καθιερώθηκε η συνήθεια, προερχόμενη από την Κωνσταντινούπολη, να μετέχει στο αξίωμα ο γιος ή ένας συγγενής.</w:t>
      </w:r>
    </w:p>
    <w:p w:rsidR="006B3C0F" w:rsidRDefault="006B3C0F" w:rsidP="006B3C0F">
      <w:pPr>
        <w:jc w:val="both"/>
      </w:pPr>
      <w:r>
        <w:t>Το εκλογικό σύστημα άλλαξε το 1172 όταν η εκλογή έπαψε πια να γίνεται από τη συνέλευση, στην οποία ανήκε πάντα η ανακήρυξη του νέου δόγη, αλλά από 11 «τίμιους ανθρώπους» που τους όριζε η συνέλευση και με 9 θετικές ψήφους. Ακολούθως η διαδικασία άλλαξε με τον ορισμό 4 εκλεκτόρων που με τη σειρά τους εξέλεγαν τους 40, που με την πλειοψηφία των 25 ψήφων, εξέλεγαν τον Δόγη. Ακολούθως για να αποφευχθεί ισοψηφία οι εκλέκτορες ανέρχονταν, από το έτος 1249, σε 41.</w:t>
      </w:r>
    </w:p>
    <w:p w:rsidR="006B3C0F" w:rsidRDefault="006B3C0F" w:rsidP="006B3C0F">
      <w:pPr>
        <w:jc w:val="both"/>
      </w:pPr>
      <w:r>
        <w:t>Το 1268 η διαδικασία έγινε πιο πολύπλοκη τόσο που για να εκλεγεί ο δόγης  απαιτούνταν 9 διαδοχικές ψηφοφορίες.</w:t>
      </w:r>
    </w:p>
    <w:p w:rsidR="006B3C0F" w:rsidRDefault="006B3C0F" w:rsidP="006B3C0F">
      <w:pPr>
        <w:jc w:val="both"/>
      </w:pPr>
      <w:r>
        <w:t>Αρχικά το Μείζον Συμβούλιο εξέλεγε 30 εκλέκτορες που μειώνονταν μετά από κλήρωση σε 9, οι 9 εξέλεγαν 40 που μειώνονταν κατόπιν κληρώσεως σε 12, οι 12 εξέλεγαν 25 που μειώνονταν σε 9, οι 9 εξέλεγαν 45 που μειώνονταν σε 11, οι 11 εξέλεγαν 41 στους οποίους ανήκε η εκλογή του δόγη, με πλειοψηφία 25 ψήφων.</w:t>
      </w:r>
    </w:p>
    <w:p w:rsidR="006B3C0F" w:rsidRDefault="006B3C0F" w:rsidP="006B3C0F">
      <w:pPr>
        <w:jc w:val="both"/>
      </w:pPr>
      <w:r>
        <w:t>Αυτή η διαδικασία συνεχίστηκε έως το τέλος της Δημοκρατίας με μικρές διαφοροποιήσεις. Η ηλικία των ψηφοφόρων ήταν τριάντα έτη ενώ οι 41 πλήρωναν 100 λίρες στους «</w:t>
      </w:r>
      <w:proofErr w:type="spellStart"/>
      <w:r>
        <w:rPr>
          <w:lang w:val="en-US"/>
        </w:rPr>
        <w:t>avogadori</w:t>
      </w:r>
      <w:proofErr w:type="spellEnd"/>
      <w:r w:rsidRPr="00653CA8">
        <w:t xml:space="preserve"> </w:t>
      </w:r>
      <w:r>
        <w:rPr>
          <w:lang w:val="en-US"/>
        </w:rPr>
        <w:t>de</w:t>
      </w:r>
      <w:r w:rsidRPr="00653CA8">
        <w:t xml:space="preserve"> </w:t>
      </w:r>
      <w:proofErr w:type="spellStart"/>
      <w:r>
        <w:rPr>
          <w:lang w:val="en-US"/>
        </w:rPr>
        <w:t>comun</w:t>
      </w:r>
      <w:proofErr w:type="spellEnd"/>
      <w:r>
        <w:t>».</w:t>
      </w:r>
    </w:p>
    <w:p w:rsidR="006B3C0F" w:rsidRDefault="006B3C0F" w:rsidP="006B3C0F">
      <w:pPr>
        <w:jc w:val="both"/>
      </w:pPr>
      <w:r>
        <w:t xml:space="preserve">Με το πέρασμα των χρόνων και ενώ η δύναμη του Κράτους μεγάλωνε και οι </w:t>
      </w:r>
      <w:proofErr w:type="spellStart"/>
      <w:r>
        <w:t>τσιταδίνοι</w:t>
      </w:r>
      <w:proofErr w:type="spellEnd"/>
      <w:r>
        <w:t xml:space="preserve"> ζητούσαν μεγαλύτερη συμμετοχή στα δημόσια πράγματα, η εξουσία του δόγη έφθινε ολοένα. Έτσι η δικαστική εξουσία πέρασε το 1094 στους δικαστές του </w:t>
      </w:r>
      <w:r>
        <w:lastRenderedPageBreak/>
        <w:t>παλατιού. Κατόπιν έγινε υποχρεωτική η «Υπόσχεση» (</w:t>
      </w:r>
      <w:proofErr w:type="spellStart"/>
      <w:r>
        <w:rPr>
          <w:lang w:val="en-US"/>
        </w:rPr>
        <w:t>Promittens</w:t>
      </w:r>
      <w:proofErr w:type="spellEnd"/>
      <w:r w:rsidRPr="00653CA8">
        <w:t xml:space="preserve"> </w:t>
      </w:r>
      <w:r>
        <w:rPr>
          <w:lang w:val="en-US"/>
        </w:rPr>
        <w:t>o</w:t>
      </w:r>
      <w:r w:rsidRPr="00653CA8">
        <w:t xml:space="preserve"> </w:t>
      </w:r>
      <w:proofErr w:type="spellStart"/>
      <w:r>
        <w:rPr>
          <w:lang w:val="en-US"/>
        </w:rPr>
        <w:t>promittentes</w:t>
      </w:r>
      <w:proofErr w:type="spellEnd"/>
      <w:r w:rsidRPr="00653CA8">
        <w:t xml:space="preserve"> </w:t>
      </w:r>
      <w:proofErr w:type="spellStart"/>
      <w:r>
        <w:rPr>
          <w:lang w:val="en-US"/>
        </w:rPr>
        <w:t>promittimus</w:t>
      </w:r>
      <w:proofErr w:type="spellEnd"/>
      <w:r>
        <w:t>)</w:t>
      </w:r>
      <w:r w:rsidRPr="00653CA8">
        <w:t xml:space="preserve">, </w:t>
      </w:r>
      <w:r>
        <w:t xml:space="preserve">η πρώτη γνωστή είναι του δόγη </w:t>
      </w:r>
      <w:r>
        <w:rPr>
          <w:lang w:val="en-US"/>
        </w:rPr>
        <w:t>Enrico</w:t>
      </w:r>
      <w:r w:rsidRPr="00653CA8">
        <w:t xml:space="preserve"> </w:t>
      </w:r>
      <w:proofErr w:type="spellStart"/>
      <w:r>
        <w:rPr>
          <w:lang w:val="en-US"/>
        </w:rPr>
        <w:t>Dandolo</w:t>
      </w:r>
      <w:proofErr w:type="spellEnd"/>
      <w:r w:rsidRPr="00653CA8">
        <w:t xml:space="preserve"> </w:t>
      </w:r>
      <w:r>
        <w:t>το 1192.</w:t>
      </w:r>
    </w:p>
    <w:p w:rsidR="006B3C0F" w:rsidRDefault="006B3C0F" w:rsidP="006B3C0F">
      <w:pPr>
        <w:jc w:val="both"/>
      </w:pPr>
      <w:r>
        <w:t>Ο δόγης την ημέρα της εκλογής του παρουσιαζόταν στον λαό με τα λόγια «</w:t>
      </w:r>
      <w:proofErr w:type="spellStart"/>
      <w:r>
        <w:rPr>
          <w:lang w:val="en-US"/>
        </w:rPr>
        <w:t>questo</w:t>
      </w:r>
      <w:proofErr w:type="spellEnd"/>
      <w:r w:rsidRPr="00390A71">
        <w:t xml:space="preserve"> è </w:t>
      </w:r>
      <w:proofErr w:type="spellStart"/>
      <w:r>
        <w:rPr>
          <w:lang w:val="en-US"/>
        </w:rPr>
        <w:t>il</w:t>
      </w:r>
      <w:proofErr w:type="spellEnd"/>
      <w:r w:rsidRPr="00390A71">
        <w:t xml:space="preserve"> </w:t>
      </w:r>
      <w:proofErr w:type="spellStart"/>
      <w:r>
        <w:rPr>
          <w:lang w:val="en-US"/>
        </w:rPr>
        <w:t>vostro</w:t>
      </w:r>
      <w:proofErr w:type="spellEnd"/>
      <w:r w:rsidRPr="00390A71">
        <w:t xml:space="preserve"> </w:t>
      </w:r>
      <w:r>
        <w:rPr>
          <w:lang w:val="en-US"/>
        </w:rPr>
        <w:t>doge</w:t>
      </w:r>
      <w:r w:rsidRPr="00390A71">
        <w:t xml:space="preserve"> </w:t>
      </w:r>
      <w:r>
        <w:rPr>
          <w:lang w:val="en-US"/>
        </w:rPr>
        <w:t>se</w:t>
      </w:r>
      <w:r w:rsidRPr="00390A71">
        <w:t xml:space="preserve"> </w:t>
      </w:r>
      <w:r>
        <w:rPr>
          <w:lang w:val="en-US"/>
        </w:rPr>
        <w:t>vi</w:t>
      </w:r>
      <w:r w:rsidRPr="00390A71">
        <w:t xml:space="preserve"> </w:t>
      </w:r>
      <w:proofErr w:type="spellStart"/>
      <w:r>
        <w:rPr>
          <w:lang w:val="en-US"/>
        </w:rPr>
        <w:t>piace</w:t>
      </w:r>
      <w:proofErr w:type="spellEnd"/>
      <w:r>
        <w:t xml:space="preserve">» κατόπιν οδηγούνταν στη σάλα του </w:t>
      </w:r>
      <w:proofErr w:type="spellStart"/>
      <w:r>
        <w:rPr>
          <w:lang w:val="en-US"/>
        </w:rPr>
        <w:t>Piovego</w:t>
      </w:r>
      <w:proofErr w:type="spellEnd"/>
      <w:r>
        <w:t xml:space="preserve"> στο </w:t>
      </w:r>
      <w:proofErr w:type="spellStart"/>
      <w:r>
        <w:t>δουκικό</w:t>
      </w:r>
      <w:proofErr w:type="spellEnd"/>
      <w:r>
        <w:t xml:space="preserve"> παλάτι όπου του θύμιζαν ότι μετά τον θάνατό του το λείψανό του θα μεταφερόταν εκεί και θα κρινόταν από τους Ανακριτές, που θα άκουγαν όλες τις κατηγορίες κατά των πράξεών του και την απαίτηση χρεών. Η λεκτική διατύπωση για την αναγγελία του θανάτου του δόγη ήταν η εξής: « με μεγάλη θλίψη πληροφορηθήκαμε τον θάνατο του </w:t>
      </w:r>
      <w:proofErr w:type="spellStart"/>
      <w:r>
        <w:t>Γαληνοτάτου</w:t>
      </w:r>
      <w:proofErr w:type="spellEnd"/>
      <w:r>
        <w:t xml:space="preserve"> </w:t>
      </w:r>
      <w:proofErr w:type="spellStart"/>
      <w:r>
        <w:t>Πρίγκιπος</w:t>
      </w:r>
      <w:proofErr w:type="spellEnd"/>
      <w:r>
        <w:t xml:space="preserve"> του τόσο καλού και ευσεβούς</w:t>
      </w:r>
      <w:r w:rsidRPr="009208B7">
        <w:t>,</w:t>
      </w:r>
      <w:r>
        <w:t xml:space="preserve"> θα κάνουμε όμως έναν άλλον».</w:t>
      </w:r>
    </w:p>
    <w:p w:rsidR="006B3C0F" w:rsidRDefault="006B3C0F" w:rsidP="006B3C0F">
      <w:pPr>
        <w:jc w:val="both"/>
      </w:pPr>
      <w:r>
        <w:t xml:space="preserve">Η υπόσχεση για τη δικαιοσύνη ήταν πρωταρχική για τον δόγη όχι μόνο για το αξίωμά του αλλά και για την </w:t>
      </w:r>
      <w:proofErr w:type="spellStart"/>
      <w:r>
        <w:t>Τερραφέρμα</w:t>
      </w:r>
      <w:proofErr w:type="spellEnd"/>
      <w:r>
        <w:t xml:space="preserve">. Η Υπόσχεση διορθωνόταν με τον θάνατο του δόγη αν το περιεχόμενό της θεωρούνταν λειψό και ανεπαρκές. Ο δόγης επαναλάμβανε την Υπόσχεση κάθε χρόνο, στις 29 Σεπτεμβρίου ορκιζόταν ότι θα την τηρεί και κάθε δύο μήνες την διάβαζε, τουλάχιστον όσο ήταν δυνατόν (του δόγη </w:t>
      </w:r>
      <w:proofErr w:type="spellStart"/>
      <w:r>
        <w:t>Γριμάνη</w:t>
      </w:r>
      <w:proofErr w:type="spellEnd"/>
      <w:r>
        <w:t xml:space="preserve"> το 1595 ήταν 108 σελίδες και 16 τα ευρετήρια, η τελευταία του δόγη </w:t>
      </w:r>
      <w:proofErr w:type="spellStart"/>
      <w:r>
        <w:t>Μανίν</w:t>
      </w:r>
      <w:proofErr w:type="spellEnd"/>
      <w:r>
        <w:t xml:space="preserve"> ήταν 301 σελίδες και 16 τα ευρετήρια).</w:t>
      </w:r>
    </w:p>
    <w:p w:rsidR="006B3C0F" w:rsidRDefault="006B3C0F" w:rsidP="006B3C0F">
      <w:pPr>
        <w:jc w:val="both"/>
      </w:pPr>
    </w:p>
    <w:p w:rsidR="006B3C0F" w:rsidRDefault="006B3C0F" w:rsidP="006B3C0F">
      <w:pPr>
        <w:jc w:val="both"/>
        <w:rPr>
          <w:b/>
        </w:rPr>
      </w:pPr>
      <w:r w:rsidRPr="00E3665C">
        <w:rPr>
          <w:b/>
        </w:rPr>
        <w:t xml:space="preserve">Γενική (λαϊκή) συνέλευση </w:t>
      </w:r>
      <w:proofErr w:type="spellStart"/>
      <w:r w:rsidRPr="00E3665C">
        <w:rPr>
          <w:b/>
          <w:lang w:val="en-US"/>
        </w:rPr>
        <w:t>concio</w:t>
      </w:r>
      <w:proofErr w:type="spellEnd"/>
      <w:r w:rsidRPr="00E3665C">
        <w:rPr>
          <w:b/>
        </w:rPr>
        <w:t xml:space="preserve"> </w:t>
      </w:r>
    </w:p>
    <w:p w:rsidR="006B3C0F" w:rsidRDefault="006B3C0F" w:rsidP="006B3C0F">
      <w:pPr>
        <w:jc w:val="both"/>
      </w:pPr>
      <w:r>
        <w:t xml:space="preserve">Η γενική συνέλευση είχε από την εποχή των </w:t>
      </w:r>
      <w:proofErr w:type="spellStart"/>
      <w:r>
        <w:t>τριβούνων</w:t>
      </w:r>
      <w:proofErr w:type="spellEnd"/>
      <w:r>
        <w:t xml:space="preserve"> την αρμοδιότητα να εκλέγει τα μέλη της, να παρεμβαίνει στα πιο σημαντικά ζητήματα όπως δίκες, επικύρωση νόμων, αποφάσεις για τη διοίκηση. Στην ίδια τέλος δόθηκε το δικαίωμα να εκλέγει τον δόγη.</w:t>
      </w:r>
    </w:p>
    <w:p w:rsidR="006B3C0F" w:rsidRDefault="006B3C0F" w:rsidP="006B3C0F">
      <w:pPr>
        <w:jc w:val="both"/>
      </w:pPr>
      <w:r>
        <w:t>Η συνέλευση μετά την αρχική φάση στην οποία είχε αρμοδιότητα να εκφράζεται για όλα τα ζητήματα του Κράτους κατέληξε να έχει μόνο νομοθετική καθώς η δικαστική και εκτελεστική εξουσία περιορίστηκε στον δόγη και στους έμπιστους συμβούλους του, καθώς και να εκλέγει τον δόγη.</w:t>
      </w:r>
    </w:p>
    <w:p w:rsidR="006B3C0F" w:rsidRDefault="006B3C0F" w:rsidP="006B3C0F">
      <w:pPr>
        <w:jc w:val="both"/>
      </w:pPr>
      <w:r>
        <w:t>Με τον καιρό στη συνέλευση παρέμεινε μόνο το δικαίωμα της επικύρωσης της εκλογής του δόγη.</w:t>
      </w:r>
    </w:p>
    <w:p w:rsidR="006B3C0F" w:rsidRPr="006B3C0F" w:rsidRDefault="006B3C0F" w:rsidP="006B3C0F">
      <w:pPr>
        <w:jc w:val="both"/>
      </w:pPr>
      <w:r>
        <w:t xml:space="preserve">Αρχικά όλος ο λαός όφειλε να ορκίζεται πίστη στον νέο δόγη, κατόπιν μόνο οι αρχηγοί των συνοικιών που κατέγραφαν τα ονόματα όλων των κατοίκων που ορκίζονταν πίστη, κατόπιν μόνο οι αρχηγοί των συνοικιών και τέλος μόνο ο δόγης των </w:t>
      </w:r>
      <w:proofErr w:type="spellStart"/>
      <w:r>
        <w:rPr>
          <w:lang w:val="en-US"/>
        </w:rPr>
        <w:t>Nicolotti</w:t>
      </w:r>
      <w:proofErr w:type="spellEnd"/>
      <w:r w:rsidRPr="001A175C">
        <w:t>.</w:t>
      </w:r>
    </w:p>
    <w:p w:rsidR="006B3C0F" w:rsidRDefault="006B3C0F" w:rsidP="006B3C0F">
      <w:pPr>
        <w:jc w:val="both"/>
        <w:rPr>
          <w:b/>
        </w:rPr>
      </w:pPr>
    </w:p>
    <w:p w:rsidR="006B3C0F" w:rsidRDefault="006B3C0F" w:rsidP="006B3C0F">
      <w:pPr>
        <w:jc w:val="both"/>
        <w:rPr>
          <w:b/>
        </w:rPr>
      </w:pPr>
      <w:r w:rsidRPr="001A175C">
        <w:rPr>
          <w:b/>
        </w:rPr>
        <w:t>Το Μείζον Συμβούλιο</w:t>
      </w:r>
    </w:p>
    <w:p w:rsidR="006B3C0F" w:rsidRDefault="006B3C0F" w:rsidP="006B3C0F">
      <w:pPr>
        <w:jc w:val="both"/>
      </w:pPr>
      <w:r>
        <w:t xml:space="preserve">Στην αρχή η διοίκηση του </w:t>
      </w:r>
      <w:proofErr w:type="spellStart"/>
      <w:r>
        <w:rPr>
          <w:lang w:val="en-US"/>
        </w:rPr>
        <w:t>Rivoalto</w:t>
      </w:r>
      <w:proofErr w:type="spellEnd"/>
      <w:r>
        <w:t xml:space="preserve"> είχε ανατεθεί στον δόγη, που συνοδευόταν από τους </w:t>
      </w:r>
      <w:proofErr w:type="spellStart"/>
      <w:r>
        <w:t>τριβούνους</w:t>
      </w:r>
      <w:proofErr w:type="spellEnd"/>
      <w:r>
        <w:t xml:space="preserve"> και τους δικαστές. Κατόπιν υιοθετήθηκε η συνήθεια ο δόγης να επιλέγει συμβούλους. Η εκλογή τους ανατέθηκε αρχικά στη γενική συνέλευση κατόπιν η τελευταία εξέλεγε το εκλεκτορικό σώμα, αρχικά αποτελούμενο από τρία μέλη και από το 1172 από τριάντα ή τριανταπέντε μέλη με ενιαύσια θητεία και χωρίς υποχρεωτική αργία (</w:t>
      </w:r>
      <w:proofErr w:type="spellStart"/>
      <w:r>
        <w:rPr>
          <w:lang w:val="en-US"/>
        </w:rPr>
        <w:t>contumacia</w:t>
      </w:r>
      <w:proofErr w:type="spellEnd"/>
      <w:r w:rsidRPr="001A175C">
        <w:t>)</w:t>
      </w:r>
      <w:r>
        <w:t xml:space="preserve">. Μετείχαν όσοι είχαν συμπληρώσει το 25ο έτος και αποκλείονταν οι έχοντες εκκλησιαστικό αξίωμα. Ο αριθμός των μετεχόντων στο Συμβούλιο ποίκιλλε ανά εποχές καθώς διάφοροι αξιωματούχοι μετείχαν σε αυτό. Τον 13ο αιώνα μετείχαν οι </w:t>
      </w:r>
      <w:proofErr w:type="spellStart"/>
      <w:r>
        <w:t>σενατόροι</w:t>
      </w:r>
      <w:proofErr w:type="spellEnd"/>
      <w:r>
        <w:t xml:space="preserve">, οι της </w:t>
      </w:r>
      <w:proofErr w:type="spellStart"/>
      <w:r>
        <w:rPr>
          <w:lang w:val="en-US"/>
        </w:rPr>
        <w:t>Quarantia</w:t>
      </w:r>
      <w:proofErr w:type="spellEnd"/>
      <w:r w:rsidRPr="001A175C">
        <w:t xml:space="preserve">, </w:t>
      </w:r>
      <w:r>
        <w:t>οι δικηγόροι του κοινού, οι των κοινοτικών αξιωμάτων και πολλοί άλλοι.</w:t>
      </w:r>
    </w:p>
    <w:p w:rsidR="006B3C0F" w:rsidRDefault="006B3C0F" w:rsidP="006B3C0F">
      <w:pPr>
        <w:jc w:val="both"/>
      </w:pPr>
      <w:r>
        <w:t>Έργο του Μείζονος Συμβουλίου ήταν η διαχείριση των δημοσίων πραγμάτων έως το σημείο που τα αναλάμβαναν άλλοι αξιωματούχοι, η εκλογή των αξιωματούχων, η εκδίκαση πολιτικών και ποινικών υποθέσεων.</w:t>
      </w:r>
    </w:p>
    <w:p w:rsidR="006B3C0F" w:rsidRDefault="006B3C0F" w:rsidP="006B3C0F">
      <w:pPr>
        <w:jc w:val="both"/>
      </w:pPr>
      <w:r>
        <w:t xml:space="preserve">Η προβλεπόμενη διαδικασία για την εκλογή στο Μείζον Συμβούλιο δεν εγγυόταν σε όλους τη συμμετοχή αντιθέτως ήταν συγκαταβατική για την εκλογή νέων προσώπων </w:t>
      </w:r>
      <w:r>
        <w:lastRenderedPageBreak/>
        <w:t>που η αριστοκρατία προσπαθούσε να κρατήσει αποκλεισμένα. Έτσι το 1286 κατατέθηκε πρόταση με την οποία για πρώτη φορά έγινε προσπάθεια  να επιτραπεί η είσοδος  στο Συμβούλιο μόνο στα πρόσωπα που ο πατέρας τους ή ο παππούς του ήταν μέλη του Συμβουλίου. Παρέμεινε ωστόσο η δυνατότητα στον δόγη και στο Μείζον Συμβούλιο να επιτρέψουν την είσοδο άλλων προσώπων. Την ανωτέρω απόφαση ακολούθησαν άλλες και τον Φεβρουάριο του 1297 πάρθηκε η απόφαση που οδήγησε στ</w:t>
      </w:r>
      <w:r>
        <w:rPr>
          <w:lang w:val="en-US"/>
        </w:rPr>
        <w:t>o</w:t>
      </w:r>
      <w:r w:rsidRPr="001A175C">
        <w:t xml:space="preserve"> </w:t>
      </w:r>
      <w:r>
        <w:t>« Κλείσιμο του Μεγάλου Συμβουλίου». Αυτή η απόφαση προέβλεπε ότι οι «Σαράντα» θα έκαναν μία κατάσταση με όλους εκείνους που τα τελευταία τ</w:t>
      </w:r>
      <w:r w:rsidR="007D6EEC">
        <w:t>έ</w:t>
      </w:r>
      <w:r>
        <w:t>σσερα χρόνια είχαν προϋπάρξει μέλη του Συμβουλίου. Αυτοί όφειλαν να έχουν ψηφιστεί μέλη των Σαράντα ενώ μέλη του Συμβουλίου λογίζονταν εκείνοι που συγκέντρωναν τουλάχιστον δώδεκα ψήφους. Για την είσοδο στο Συμβούλιο παρέμεινε φυσικά και η οδός της χάριτος για όσους είχαν προσφέρει σημαντικές υπηρεσίες.</w:t>
      </w:r>
    </w:p>
    <w:p w:rsidR="006B3C0F" w:rsidRDefault="006B3C0F" w:rsidP="006B3C0F">
      <w:pPr>
        <w:jc w:val="both"/>
      </w:pPr>
      <w:r>
        <w:t xml:space="preserve">Από το 1526 καθιερώθηκε το </w:t>
      </w:r>
      <w:proofErr w:type="spellStart"/>
      <w:r>
        <w:rPr>
          <w:lang w:val="en-US"/>
        </w:rPr>
        <w:t>Libro</w:t>
      </w:r>
      <w:proofErr w:type="spellEnd"/>
      <w:r w:rsidRPr="001A175C">
        <w:t xml:space="preserve"> </w:t>
      </w:r>
      <w:r>
        <w:rPr>
          <w:lang w:val="en-US"/>
        </w:rPr>
        <w:t>d</w:t>
      </w:r>
      <w:r w:rsidRPr="001A175C">
        <w:t xml:space="preserve">’ </w:t>
      </w:r>
      <w:r w:rsidR="00803A1C">
        <w:t>Ο</w:t>
      </w:r>
      <w:proofErr w:type="spellStart"/>
      <w:r>
        <w:rPr>
          <w:lang w:val="en-US"/>
        </w:rPr>
        <w:t>ro</w:t>
      </w:r>
      <w:proofErr w:type="spellEnd"/>
      <w:r>
        <w:t xml:space="preserve">  στο οποίο σημειώνονταν οι γάμοι και οι γεννήσεις εκείνων που είχαν δικαίωμα εισαγωγής στο Μείζον Συμβούλιο.  </w:t>
      </w:r>
    </w:p>
    <w:p w:rsidR="00FB6A33" w:rsidRDefault="00FB6A33" w:rsidP="006B3C0F">
      <w:pPr>
        <w:jc w:val="both"/>
      </w:pPr>
    </w:p>
    <w:p w:rsidR="00FB6A33" w:rsidRDefault="00FB6A33" w:rsidP="00FB6A33">
      <w:pPr>
        <w:numPr>
          <w:ilvl w:val="0"/>
          <w:numId w:val="2"/>
        </w:numPr>
        <w:jc w:val="both"/>
      </w:pPr>
      <w:r w:rsidRPr="00C9239E">
        <w:t>Η κοινωνική οργάνωση στον βενετοκρατούμενο ελληνικό χώρο</w:t>
      </w:r>
    </w:p>
    <w:p w:rsidR="00B6472D" w:rsidRDefault="007D6EEC" w:rsidP="00FB6A33">
      <w:pPr>
        <w:jc w:val="both"/>
      </w:pPr>
      <w:r>
        <w:t xml:space="preserve">Στις βενετοκρατούμενες ελληνικές περιοχές του ελληνικού χώρου, όπως και στη μητρόπολη, εφαρμόστηκε ένα αυστηρό σύστημα κοινωνικής διαστρωμάτωσης. Μετά το κλείσιμο του Μείζονος Συμβουλίου στη Βενετία και μετά από  μια σειρά από μακροχρόνιες διαδικασίες «κάθαρσης» των μελών του και καθιέρωση κριτηρίων </w:t>
      </w:r>
      <w:proofErr w:type="spellStart"/>
      <w:r>
        <w:t>αστικότητας</w:t>
      </w:r>
      <w:proofErr w:type="spellEnd"/>
      <w:r>
        <w:t xml:space="preserve"> τα δύο κοινωνικά σώματα σ</w:t>
      </w:r>
      <w:r w:rsidR="00C06985">
        <w:t>τη Βενετία ήταν οι ευγενείς,</w:t>
      </w:r>
      <w:r w:rsidR="003F4825">
        <w:t xml:space="preserve"> οι</w:t>
      </w:r>
      <w:r w:rsidR="00C06985">
        <w:t xml:space="preserve"> πολίτε</w:t>
      </w:r>
      <w:r w:rsidR="003F4825">
        <w:t xml:space="preserve">ς/αστοί και ο λαός. Οι ανωτέρω </w:t>
      </w:r>
      <w:r w:rsidR="00C06985">
        <w:t xml:space="preserve">κοινωνικές ομάδες απαντούν και στα αστικά κέντρα των βενετικών κτήσεων. </w:t>
      </w:r>
      <w:r>
        <w:t xml:space="preserve"> </w:t>
      </w:r>
      <w:r w:rsidR="00D32E89">
        <w:t xml:space="preserve">Στην ανώτερη κοινωνική </w:t>
      </w:r>
      <w:r w:rsidR="003D1142">
        <w:t>κατηγορία</w:t>
      </w:r>
      <w:r w:rsidR="00D32E89">
        <w:t xml:space="preserve"> ανήκαν όσοι περιλαμβάνονταν ως μέλη στα τοπικά κοινοτικά συμβούλια, οι οποίοι με την ιδιότητα αυτή μετείχαν στη νομή και στη διαχείριση της εξουσίας. Ανάλογα με τον τόπο της κοινότητας ή τη χρονική στιγμή στις πηγές απαντούν ως ευγενείς ή πολίτες (</w:t>
      </w:r>
      <w:proofErr w:type="spellStart"/>
      <w:r w:rsidR="00D32E89">
        <w:rPr>
          <w:lang w:val="en-US"/>
        </w:rPr>
        <w:t>cittadini</w:t>
      </w:r>
      <w:proofErr w:type="spellEnd"/>
      <w:r w:rsidR="00D32E89">
        <w:t xml:space="preserve">). Στη δεύτερη </w:t>
      </w:r>
      <w:r w:rsidR="003D1142">
        <w:t>ομάδα</w:t>
      </w:r>
      <w:r w:rsidR="00D32E89">
        <w:t xml:space="preserve"> ανήκαν πλούσιοι και ευκατάστατοι αστοί οι οποίοι υπηρετούσαν σε υπαλληλικές θέσεις της κοινότητας αλλά δεν ήταν μέλη του αστικού συμβουλίου. Πολλοί από αυτούς διεκδίκησαν την εισαγωγή τους στα αστικά συμβούλια και κάποιοι στα τελευταία χρόνια της βενετικής κυριαρχίας πέτυχαν, με την καταβολή χρηματικών ποσών, τη συμπερίληψή τους σε αυτά. </w:t>
      </w:r>
      <w:r w:rsidR="003D1142">
        <w:t xml:space="preserve">Στην τρίτη, κατώτερη, κοινωνική  ομάδα, </w:t>
      </w:r>
      <w:r w:rsidR="00FA4689">
        <w:t>ανήκαν οι χειρώνακτες, τεχνίτες, μικροέμποροι, στρατιώτες οι οποίοι αποτελούσαν τον λαό ή τον όχλο. Οι τελευταίοι ουδέποτε διεκδίκησαν την εισαγωγή τους στα αστικά συμβούλια και η εισαγωγή τους, βάσει κανονισμών που θεσμοθετήθηκαν κ</w:t>
      </w:r>
      <w:r w:rsidR="00B6472D">
        <w:t xml:space="preserve">αι ίσχυαν σε αυτά, ήταν αδύνατη. </w:t>
      </w:r>
    </w:p>
    <w:p w:rsidR="00B6472D" w:rsidRDefault="00B6472D" w:rsidP="00FB6A33">
      <w:pPr>
        <w:jc w:val="both"/>
      </w:pPr>
      <w:r>
        <w:t xml:space="preserve">Κάναμε ήδη λόγο για αστικά κοινοτικά συμβούλια πρέπει να ξεκαθαρίσουμε το περιεχόμενο του όρου «αστική κοινότητα». Σύμφωνα με την καθηγήτρια Αναστασία </w:t>
      </w:r>
      <w:proofErr w:type="spellStart"/>
      <w:r>
        <w:t>Παπαδία</w:t>
      </w:r>
      <w:proofErr w:type="spellEnd"/>
      <w:r>
        <w:t xml:space="preserve"> </w:t>
      </w:r>
      <w:r w:rsidR="005D5182">
        <w:t>-</w:t>
      </w:r>
      <w:r>
        <w:t xml:space="preserve">Λάλα, η οποία μελέτησε και κατέγραψε, σε ένα πολύμοχθο έργο, τον θεσμό των αστικών κοινοτήτων, </w:t>
      </w:r>
      <w:r w:rsidR="005D5182">
        <w:t xml:space="preserve">με τον όρο «εννοείται ένα θεσμικά αναγνωρισμένο συλλογικό όργανο, που έδρευε στην πόλη και απαρτιζόταν από κοινωνικά επιφανείς κατοίκους κάθε κτήσης, με κοινωνικά γνωρίσματα αστικού χαρακτήρα, αντιπροσώπευε τα μέλη του αλλά και το σύνολο των εγχώριων πληθυσμών ενώπιον των βενετικών αρχών και λάμβανε μέρος στην άσκηση της τοπικής διοίκησης. Συνακολούθως, η συμμετοχή στις κοινότητες προσέδιδε στα μέλη τους μια νέα, κυρίαρχη κοινωνική </w:t>
      </w:r>
      <w:proofErr w:type="spellStart"/>
      <w:r w:rsidR="005D5182">
        <w:t>ταυτὀτητα</w:t>
      </w:r>
      <w:proofErr w:type="spellEnd"/>
      <w:r w:rsidR="005D5182">
        <w:t xml:space="preserve">, εκείνη του φορέα της «αστικής ιδιότητας», ευγενούς ή πολίτη και αποκλειστικού κατόχου πολιτικών δικαιωμάτων» (Αναστασία </w:t>
      </w:r>
      <w:proofErr w:type="spellStart"/>
      <w:r w:rsidR="005D5182">
        <w:t>Παπαδία</w:t>
      </w:r>
      <w:proofErr w:type="spellEnd"/>
      <w:r w:rsidR="005D5182">
        <w:t xml:space="preserve">- Λάλα, Η κοινωνική συγκρότηση στις πόλεις στον τόμο Βενετοκρατούμενη Ελλάδα. Προσεγγίζοντας την ιστορία της, Επιστημονική διεύθυνση Χρύσα </w:t>
      </w:r>
      <w:proofErr w:type="spellStart"/>
      <w:r w:rsidR="005D5182">
        <w:t>Μαλτέζου</w:t>
      </w:r>
      <w:proofErr w:type="spellEnd"/>
      <w:r w:rsidR="005D5182">
        <w:t>, τ. Α΄, Αθήνα-Βενετία 2010, σ. 108-109).</w:t>
      </w:r>
    </w:p>
    <w:p w:rsidR="00636DF3" w:rsidRDefault="00636DF3" w:rsidP="00FB6A33">
      <w:pPr>
        <w:jc w:val="both"/>
      </w:pPr>
      <w:r>
        <w:lastRenderedPageBreak/>
        <w:t xml:space="preserve">Με βάση τα χαρακτηριστικά τους και κυρίως την υιοθέτηση κριτηρίων συμμετοχής και αποκλεισμών μελών, οι αστικές κοινότητες και για μεθοδολογικούς  λόγους μελέτης και κατανόησης διακρίνονται σε τέσσερις μεγάλες κατηγορίες. </w:t>
      </w:r>
    </w:p>
    <w:p w:rsidR="005E234B" w:rsidRDefault="005E234B" w:rsidP="005E234B">
      <w:pPr>
        <w:jc w:val="both"/>
      </w:pPr>
      <w:r>
        <w:t xml:space="preserve">α. </w:t>
      </w:r>
      <w:r w:rsidRPr="00FB6A33">
        <w:t>Κοινότητες αστικού χαρακτήρα των ευγενών-φεουδαρχών</w:t>
      </w:r>
      <w:r>
        <w:t>. Στην κατηγορία ανήκουν τα κ</w:t>
      </w:r>
      <w:r w:rsidRPr="00FB6A33">
        <w:t>οινοτικά συμβούλια Κρήτης, Χάνδακα, Ρέθυμνου, Χανίων</w:t>
      </w:r>
      <w:r>
        <w:t xml:space="preserve"> και η κ</w:t>
      </w:r>
      <w:r w:rsidRPr="00FB6A33">
        <w:t xml:space="preserve">οινότητα </w:t>
      </w:r>
      <w:r>
        <w:t xml:space="preserve">των </w:t>
      </w:r>
      <w:r w:rsidRPr="00FB6A33">
        <w:t>ευγενών φεουδαρχών</w:t>
      </w:r>
      <w:r>
        <w:t xml:space="preserve"> της </w:t>
      </w:r>
      <w:r w:rsidRPr="00FB6A33">
        <w:t xml:space="preserve"> Λευκωσίας</w:t>
      </w:r>
      <w:r>
        <w:t xml:space="preserve"> στην Κύπρο.</w:t>
      </w:r>
    </w:p>
    <w:p w:rsidR="00ED79F6" w:rsidRDefault="005E234B" w:rsidP="005E234B">
      <w:pPr>
        <w:jc w:val="both"/>
      </w:pPr>
      <w:r>
        <w:t xml:space="preserve">Στα πρώτα χρόνια της </w:t>
      </w:r>
      <w:proofErr w:type="spellStart"/>
      <w:r>
        <w:t>βενετοκρατίας</w:t>
      </w:r>
      <w:proofErr w:type="spellEnd"/>
      <w:r>
        <w:t xml:space="preserve"> στο νησί της Κρήτης, οι κάτοικοι του οποίου εναντιώθηκαν στη βενετική κατάκτηση και αντέδρασαν με 7 επαναστατικά κινήματα στον 13</w:t>
      </w:r>
      <w:r w:rsidRPr="005E234B">
        <w:rPr>
          <w:vertAlign w:val="superscript"/>
        </w:rPr>
        <w:t>ο</w:t>
      </w:r>
      <w:r>
        <w:t xml:space="preserve"> αιώνα, προκαλώντας την Βενετία να αμυνθεί με 3 εποικισμούς, η ανώτερη κοινωνική ομάδα αποτελούνταν από φεουδ</w:t>
      </w:r>
      <w:r w:rsidR="00A7477D">
        <w:t>άρχες, κυρίως βενετούς αποίκους. Κυρίαρχα όργανα ήταν λοιπόν τα συμβούλια των φεουδαρχών στις τρεις μεγάλες κρητικές πόλεις. Παράλληλα λειτουργούσαν τα Μεγάλα Συμβούλια με μέλη ευκατάστατους κατοίκους των πόλεων, φεουδάρχες και μη. Στον 14</w:t>
      </w:r>
      <w:r w:rsidR="00A7477D" w:rsidRPr="00A7477D">
        <w:rPr>
          <w:vertAlign w:val="superscript"/>
        </w:rPr>
        <w:t>ο</w:t>
      </w:r>
      <w:r w:rsidR="00A7477D">
        <w:t xml:space="preserve"> αιώνα τα αστικά συμβούλια εξελίχθηκαν σε συμβούλια βενετών ευγενών, καθολικών στο δόγμα. Στον 15ο αιώνα θεσμοθετήθηκε μια νέας μορφή ευγένεια, η κρητική ευγένεια, κατώτερη από την προηγούμενη τη βενετική. Σε αυτήν </w:t>
      </w:r>
      <w:proofErr w:type="spellStart"/>
      <w:r w:rsidR="00A7477D">
        <w:t>συναριθμήθηκαν</w:t>
      </w:r>
      <w:proofErr w:type="spellEnd"/>
      <w:r w:rsidR="00A7477D">
        <w:t xml:space="preserve"> οι ελληνορθόδοξοι κάτοικοι, πρώην μεγαλοκτηματίες, απόγονοι βυζαντινών οικογενειών, </w:t>
      </w:r>
      <w:r w:rsidR="00FE7451">
        <w:t xml:space="preserve">αλλά και βενετοί πολίτες, </w:t>
      </w:r>
      <w:proofErr w:type="spellStart"/>
      <w:r w:rsidR="00FE7451">
        <w:t>εκπεσόντες</w:t>
      </w:r>
      <w:proofErr w:type="spellEnd"/>
      <w:r w:rsidR="00FE7451">
        <w:t xml:space="preserve"> βενετοί ευγενείς και τα παιδιά τους ακόμα και νόθα. Η οικογένεια Καλλέργη, αν και ορθόδοξη και απόγονος (όπως διατεινόταν) βυζαντινής αυτοκρατορικής γενιάς, είναι η μοναδική οικογένεια η οποία αν και μη καθολική κατείχε από τον 14 αιώνα τον τίτλο της βενετικής ευγένειας, παραχώρηση της Βενετίας σε ανταπόδοση και αναγνώριση  προσφορών. </w:t>
      </w:r>
    </w:p>
    <w:p w:rsidR="001E138F" w:rsidRDefault="00ED79F6" w:rsidP="005E234B">
      <w:pPr>
        <w:jc w:val="both"/>
      </w:pPr>
      <w:r>
        <w:t>Για την απόκτηση της βενετικής ευγένειας απαραίτητη προϋπόθεση ήταν η «απόδειξη» (</w:t>
      </w:r>
      <w:proofErr w:type="spellStart"/>
      <w:r>
        <w:rPr>
          <w:lang w:val="en-US"/>
        </w:rPr>
        <w:t>prova</w:t>
      </w:r>
      <w:proofErr w:type="spellEnd"/>
      <w:r w:rsidRPr="00ED79F6">
        <w:t xml:space="preserve"> </w:t>
      </w:r>
      <w:r>
        <w:rPr>
          <w:lang w:val="en-US"/>
        </w:rPr>
        <w:t>di</w:t>
      </w:r>
      <w:r w:rsidRPr="00ED79F6">
        <w:t xml:space="preserve"> </w:t>
      </w:r>
      <w:proofErr w:type="spellStart"/>
      <w:r>
        <w:rPr>
          <w:lang w:val="en-US"/>
        </w:rPr>
        <w:t>nobilta</w:t>
      </w:r>
      <w:proofErr w:type="spellEnd"/>
      <w:r w:rsidRPr="00ED79F6">
        <w:t xml:space="preserve">) </w:t>
      </w:r>
      <w:r>
        <w:t>μετά από την κατάθεση των επίσημων εγγράφων για την απόδειξη της γέννησης-βάπτισης και γάμου των μελών της.</w:t>
      </w:r>
      <w:r w:rsidR="008B6704">
        <w:t xml:space="preserve">  Η </w:t>
      </w:r>
      <w:proofErr w:type="spellStart"/>
      <w:r w:rsidR="008B6704">
        <w:t>βεεντική</w:t>
      </w:r>
      <w:proofErr w:type="spellEnd"/>
      <w:r w:rsidR="008B6704">
        <w:t xml:space="preserve"> διοίκηση πιστοποιούσε τη νομιμότητα της κατοχής του τίτλου των βενετών ευγενών. </w:t>
      </w:r>
      <w:r>
        <w:t xml:space="preserve"> Στον 16</w:t>
      </w:r>
      <w:r w:rsidRPr="00ED79F6">
        <w:rPr>
          <w:vertAlign w:val="superscript"/>
        </w:rPr>
        <w:t>ο</w:t>
      </w:r>
      <w:r w:rsidR="008B6704">
        <w:t xml:space="preserve"> αιώνα η διαδικασία παγιώθηκε και καθορίστηκαν τα κριτήρια για την εισαγωγή νέων μελών: </w:t>
      </w:r>
    </w:p>
    <w:p w:rsidR="005E234B" w:rsidRDefault="008B6704" w:rsidP="005E234B">
      <w:pPr>
        <w:jc w:val="both"/>
      </w:pPr>
      <w:r>
        <w:t xml:space="preserve">ο υποψήφιος, όπως ο πατέρας του και ο παππούς του όφειλαν να μην έχουν ασκήσει </w:t>
      </w:r>
      <w:r w:rsidR="001E138F">
        <w:t xml:space="preserve">χειρωνακτική τέχνη, </w:t>
      </w:r>
    </w:p>
    <w:p w:rsidR="001E138F" w:rsidRDefault="001E138F" w:rsidP="005E234B">
      <w:pPr>
        <w:jc w:val="both"/>
      </w:pPr>
      <w:r>
        <w:t>να προέρχονται από νόμιμο γάμο,</w:t>
      </w:r>
    </w:p>
    <w:p w:rsidR="001E138F" w:rsidRDefault="001E138F" w:rsidP="005E234B">
      <w:pPr>
        <w:jc w:val="both"/>
      </w:pPr>
      <w:r>
        <w:t xml:space="preserve">να μην </w:t>
      </w:r>
      <w:proofErr w:type="spellStart"/>
      <w:r>
        <w:t>ἐχουν</w:t>
      </w:r>
      <w:proofErr w:type="spellEnd"/>
      <w:r>
        <w:t xml:space="preserve"> καταδικαστεί για ποινικό αδίκημα,</w:t>
      </w:r>
    </w:p>
    <w:p w:rsidR="001E138F" w:rsidRDefault="001E138F" w:rsidP="005E234B">
      <w:pPr>
        <w:jc w:val="both"/>
      </w:pPr>
      <w:r>
        <w:t>ο υποψήφιος και η σύζυγός του να ήταν πρόσωπα ευυπόληπτα,</w:t>
      </w:r>
    </w:p>
    <w:p w:rsidR="001E138F" w:rsidRDefault="001E138F" w:rsidP="005E234B">
      <w:pPr>
        <w:jc w:val="both"/>
      </w:pPr>
      <w:r>
        <w:t>ο υποψήφιος να διέθετε πλούτο και μόρφωση (άτυπο κριτήριο).</w:t>
      </w:r>
    </w:p>
    <w:p w:rsidR="008C47BC" w:rsidRDefault="008C47BC" w:rsidP="005E234B">
      <w:pPr>
        <w:jc w:val="both"/>
      </w:pPr>
      <w:r>
        <w:t xml:space="preserve">Το κοινοτικό συμβούλιο της Λευκωσίας της Κύπρου απαρτίστηκε από ευγενείς φεουδάρχες του προηγούμενου καθεστώτος των </w:t>
      </w:r>
      <w:proofErr w:type="spellStart"/>
      <w:r>
        <w:t>Λουζινιάν</w:t>
      </w:r>
      <w:proofErr w:type="spellEnd"/>
      <w:r>
        <w:t xml:space="preserve">, έλληνες και </w:t>
      </w:r>
      <w:proofErr w:type="spellStart"/>
      <w:r>
        <w:t>λατίνους</w:t>
      </w:r>
      <w:proofErr w:type="spellEnd"/>
      <w:r>
        <w:t>, ευκατάστατους ανθρώπους της πόλης και ξένους που ικανοποιούσαν κριτήρια αστικής ιδιότητας.</w:t>
      </w:r>
    </w:p>
    <w:p w:rsidR="005E234B" w:rsidRDefault="005E234B" w:rsidP="005E234B">
      <w:pPr>
        <w:jc w:val="both"/>
      </w:pPr>
    </w:p>
    <w:p w:rsidR="005E234B" w:rsidRDefault="005E234B" w:rsidP="005E234B">
      <w:pPr>
        <w:jc w:val="both"/>
      </w:pPr>
      <w:r>
        <w:t xml:space="preserve">β. </w:t>
      </w:r>
      <w:r w:rsidRPr="00FB6A33">
        <w:t>Ανοικτές κοινότητες αστικού χαρακτήρα</w:t>
      </w:r>
      <w:r>
        <w:t>. Στην κατηγορία εντάσσονται οι π</w:t>
      </w:r>
      <w:r w:rsidRPr="00FB6A33">
        <w:t xml:space="preserve">εριπτώσεις Μεθώνης, Κορώνης, </w:t>
      </w:r>
      <w:proofErr w:type="spellStart"/>
      <w:r w:rsidRPr="00FB6A33">
        <w:t>Πτελεού</w:t>
      </w:r>
      <w:proofErr w:type="spellEnd"/>
      <w:r>
        <w:t xml:space="preserve">, </w:t>
      </w:r>
      <w:r w:rsidRPr="00FB6A33">
        <w:t xml:space="preserve">Ναυπλίου, </w:t>
      </w:r>
      <w:proofErr w:type="spellStart"/>
      <w:r w:rsidRPr="00FB6A33">
        <w:t>Αργους</w:t>
      </w:r>
      <w:proofErr w:type="spellEnd"/>
      <w:r w:rsidRPr="00FB6A33">
        <w:t xml:space="preserve">, Εύβοιας, Τήνου, </w:t>
      </w:r>
      <w:proofErr w:type="spellStart"/>
      <w:r w:rsidRPr="00FB6A33">
        <w:t>Ναυοπάκτου</w:t>
      </w:r>
      <w:proofErr w:type="spellEnd"/>
      <w:r w:rsidRPr="00FB6A33">
        <w:t>, Αίγινας, βορείων Σποράδων, Μονεμβασίας</w:t>
      </w:r>
      <w:r>
        <w:t>.</w:t>
      </w:r>
    </w:p>
    <w:p w:rsidR="005E234B" w:rsidRPr="0046636A" w:rsidRDefault="0046636A" w:rsidP="005E234B">
      <w:pPr>
        <w:jc w:val="both"/>
      </w:pPr>
      <w:r>
        <w:t>Το κοινό χαρακτηριστικό των ανωτέρω κοινοτήτων είναι ότι λειτουργούσαν ανοικτά για όλους τους κατοίκους των πόλεων, η πλειοψηφία των οποίων ήταν ορθόδοξοι. Ο τοπικός πληθυσμός στις περιοχές αυτές διακρινόταν σε πολίτες (</w:t>
      </w:r>
      <w:proofErr w:type="spellStart"/>
      <w:r>
        <w:rPr>
          <w:lang w:val="en-US"/>
        </w:rPr>
        <w:t>cittadini</w:t>
      </w:r>
      <w:proofErr w:type="spellEnd"/>
      <w:r w:rsidRPr="0046636A">
        <w:t>)</w:t>
      </w:r>
      <w:r>
        <w:t xml:space="preserve"> και στον απλό λαό.</w:t>
      </w:r>
      <w:r w:rsidRPr="0046636A">
        <w:t xml:space="preserve"> </w:t>
      </w:r>
    </w:p>
    <w:p w:rsidR="005E234B" w:rsidRDefault="005E234B" w:rsidP="005E234B">
      <w:pPr>
        <w:jc w:val="both"/>
      </w:pPr>
    </w:p>
    <w:p w:rsidR="005E234B" w:rsidRDefault="005E234B" w:rsidP="005E234B">
      <w:pPr>
        <w:jc w:val="both"/>
      </w:pPr>
    </w:p>
    <w:p w:rsidR="005E234B" w:rsidRDefault="005E234B" w:rsidP="005E234B">
      <w:pPr>
        <w:jc w:val="both"/>
      </w:pPr>
      <w:r>
        <w:lastRenderedPageBreak/>
        <w:t xml:space="preserve">γ. </w:t>
      </w:r>
      <w:r w:rsidRPr="00FB6A33">
        <w:t>Μεταβατικές κοινότητες</w:t>
      </w:r>
      <w:r>
        <w:t>, που πέρασαν δηλαδή απ</w:t>
      </w:r>
      <w:r w:rsidRPr="00FB6A33">
        <w:t>ό τις ανοικτές κοινότητες αστικού χαρακτήρα στις κλειστές αστικές κοινότητες των πολιτών/ ευγενών</w:t>
      </w:r>
      <w:r>
        <w:t>. Στην κατηγορία εντάσσονται οι π</w:t>
      </w:r>
      <w:r w:rsidRPr="00FB6A33">
        <w:t>εριπτώσεις Κυθήρων, Κέρκυρας, Ζακύνθου, Κεφαλονιάς</w:t>
      </w:r>
      <w:r>
        <w:t>.</w:t>
      </w:r>
    </w:p>
    <w:p w:rsidR="005E234B" w:rsidRDefault="008160E7" w:rsidP="005E234B">
      <w:pPr>
        <w:jc w:val="both"/>
      </w:pPr>
      <w:r>
        <w:t>Πρόκειται για κοινότητες που ενώ ξεκίνησαν ανοικτά για όλους τους κατοίκους στην πορεία κατέληξαν σε κλειστά κοινοτικά συμβούλια. Οι διεργασίες σύνθετες και χρονοβόρες ξεκίνησαν κατά τόπους τον 15</w:t>
      </w:r>
      <w:r w:rsidRPr="008160E7">
        <w:rPr>
          <w:vertAlign w:val="superscript"/>
        </w:rPr>
        <w:t>ο</w:t>
      </w:r>
      <w:r>
        <w:t xml:space="preserve"> αιώνα και ολοκληρώθηκαν τον 17</w:t>
      </w:r>
      <w:r w:rsidRPr="008160E7">
        <w:rPr>
          <w:vertAlign w:val="superscript"/>
        </w:rPr>
        <w:t>ο</w:t>
      </w:r>
      <w:r>
        <w:t xml:space="preserve"> αιώνα. Μέσα για την επίτευξη του κλεισίματος των συμβουλίων αποτέλεσαν: η συγκρότηση ολιγομελών οργάνων που προέρχονταν μέσα από τα Γενικά Συμβούλια των κοινοτήτων, με συγκεκριμένες αρμοδιότητες (από το Γενικό Συμβούλιο στην Κέρκυρα ή στη Ζάκυνθο, για παράδειγμα, προήλθε το Συμβούλιο των 150)</w:t>
      </w:r>
      <w:r w:rsidR="002A6B03">
        <w:t xml:space="preserve">, η θεσμοθέτηση κριτηρίων </w:t>
      </w:r>
      <w:proofErr w:type="spellStart"/>
      <w:r w:rsidR="002A6B03">
        <w:t>αστικότητας</w:t>
      </w:r>
      <w:proofErr w:type="spellEnd"/>
      <w:r w:rsidR="002A6B03">
        <w:t xml:space="preserve"> με στόχο την κάθαρση του σώματος του Συμβουλίου. </w:t>
      </w:r>
      <w:r w:rsidR="00BA139C">
        <w:t xml:space="preserve">Τα κριτήρια </w:t>
      </w:r>
      <w:proofErr w:type="spellStart"/>
      <w:r w:rsidR="00BA139C">
        <w:t>αστικότητας</w:t>
      </w:r>
      <w:proofErr w:type="spellEnd"/>
      <w:r w:rsidR="00BA139C">
        <w:t xml:space="preserve"> περιλάμβαναν την εντοπιότητα, την υποχρεωτική ύπαρξη κατοικίας στην πόλη, τη γέννηση από νόμιμο γάμο, την μη άσκηση χειρωνακτικής τέχνης.</w:t>
      </w:r>
    </w:p>
    <w:p w:rsidR="005E234B" w:rsidRDefault="005E234B" w:rsidP="005E234B">
      <w:pPr>
        <w:jc w:val="both"/>
      </w:pPr>
    </w:p>
    <w:p w:rsidR="005E234B" w:rsidRDefault="005E234B" w:rsidP="00FB6A33">
      <w:pPr>
        <w:jc w:val="both"/>
      </w:pPr>
      <w:r>
        <w:t xml:space="preserve">δ. Τέλος, στην όψιμη </w:t>
      </w:r>
      <w:proofErr w:type="spellStart"/>
      <w:r>
        <w:t>βενετοκρατία</w:t>
      </w:r>
      <w:proofErr w:type="spellEnd"/>
      <w:r>
        <w:t>, υπήρξαν ε</w:t>
      </w:r>
      <w:r w:rsidRPr="00FB6A33">
        <w:t>ξαρχής κλειστές στον αριθμό αστικές κοινότητες των πολιτών</w:t>
      </w:r>
      <w:r>
        <w:t>. Τέτοια είναι η περίπτωση της Λ</w:t>
      </w:r>
      <w:r w:rsidRPr="00FB6A33">
        <w:t>ευκάδας</w:t>
      </w:r>
      <w:r>
        <w:t xml:space="preserve"> και της</w:t>
      </w:r>
      <w:r w:rsidRPr="00FB6A33">
        <w:t xml:space="preserve"> Πελοποννήσου</w:t>
      </w:r>
      <w:r w:rsidR="00A4105C">
        <w:t xml:space="preserve"> και στον 18</w:t>
      </w:r>
      <w:r w:rsidR="00A4105C" w:rsidRPr="00A4105C">
        <w:rPr>
          <w:vertAlign w:val="superscript"/>
        </w:rPr>
        <w:t>ο</w:t>
      </w:r>
      <w:r w:rsidR="00A4105C">
        <w:t xml:space="preserve"> αιώνα της Πρέβεζας και της Βόνιτσας. Πρόκειται για μια ε</w:t>
      </w:r>
      <w:r w:rsidR="00F12252">
        <w:t>κ των πραγμάτων αποδοχή ενός κοινοτικού μοντέλου που εφαρμοζόταν στις πλησιόχωρες περιοχές του Ιονίου, εφόσον όλες οι περιοχές που το υιοθέτησαν εξαρχής συμπεριλήφθηκαν στις βενετικές κτήσεις όψιμα και ενώ είχαν ήδη αποκρυσταλλωθεί και θεσμοθετηθεί οι  μορφές κοινοτικής οργάνωσης στις υπάρχουσες τότε βενετοκρατούμενες περιοχές.</w:t>
      </w:r>
    </w:p>
    <w:p w:rsidR="00833355" w:rsidRDefault="00833355" w:rsidP="00FB6A33">
      <w:pPr>
        <w:jc w:val="both"/>
      </w:pPr>
      <w:r>
        <w:t>Η ομάδα των πολιτών που ήταν μέλη των αστικών συμβουλίων ήταν η προνομιούχος ομάδα των κατοίκων της κοινότητας. Τα μέλη της όπως αναφέραμε είχαν πολιτικά δικαιώματα, συμμετοχή στην εξουσία</w:t>
      </w:r>
      <w:r w:rsidR="002710EC">
        <w:t xml:space="preserve">, </w:t>
      </w:r>
      <w:r>
        <w:t xml:space="preserve"> δικαίωμα </w:t>
      </w:r>
      <w:r w:rsidR="002710EC">
        <w:t xml:space="preserve">και δυνατότητα </w:t>
      </w:r>
      <w:r>
        <w:t>ζώσης και εγγύθεν συνομιλίας</w:t>
      </w:r>
      <w:r w:rsidR="00D4074B">
        <w:t xml:space="preserve"> με την Κυρίαρχο αφού όχι μόνο </w:t>
      </w:r>
      <w:proofErr w:type="spellStart"/>
      <w:r w:rsidR="00D4074B">
        <w:t>απέστελναν</w:t>
      </w:r>
      <w:proofErr w:type="spellEnd"/>
      <w:r w:rsidR="00D4074B">
        <w:t xml:space="preserve"> πρεσβείες στη μητρόπολη αλλά μπορούσαν να ταξιδέψουν έως τη Βενετία και να υποστηρίξουν και ενώπιον του Δόγη τα αιτήματά τους. Μετείχαν στις εκλογές για την ανάδειξη των τοπικών αξιωματούχων και μπορούσαν να εκλεγούν σε θέσεις που σχετίζονταν με τον επισιτισμό, την απονομή δικαιοσύνης, τη διαχείριση του ταμείου της κοινότητας, την κατάσταση του υγειονομείου, τη δημόσια εικόνα της πόλης και της υπαίθρου (προβλεπτές των δρόμων της πόλης, της υπαίθρου κλπ).</w:t>
      </w:r>
    </w:p>
    <w:p w:rsidR="00D4074B" w:rsidRDefault="00D4074B" w:rsidP="00FB6A33">
      <w:pPr>
        <w:jc w:val="both"/>
      </w:pPr>
      <w:r>
        <w:t>Στα κοινοτικά συμβούλια δεν μετείχαν οι γυναίκες και οι ιερωμένοι.</w:t>
      </w:r>
    </w:p>
    <w:p w:rsidR="00B6472D" w:rsidRDefault="00B6472D" w:rsidP="00FB6A33">
      <w:pPr>
        <w:jc w:val="both"/>
      </w:pPr>
    </w:p>
    <w:p w:rsidR="005D630E" w:rsidRPr="00D32E89" w:rsidRDefault="005D630E" w:rsidP="00A01427">
      <w:pPr>
        <w:ind w:left="360"/>
        <w:jc w:val="both"/>
      </w:pPr>
      <w:r>
        <w:t xml:space="preserve">  </w:t>
      </w:r>
    </w:p>
    <w:p w:rsidR="00FB6A33" w:rsidRPr="001A175C" w:rsidRDefault="00FB6A33" w:rsidP="006B3C0F">
      <w:pPr>
        <w:jc w:val="both"/>
      </w:pPr>
    </w:p>
    <w:p w:rsidR="006B3C0F" w:rsidRPr="001A175C" w:rsidRDefault="006B3C0F" w:rsidP="006B3C0F">
      <w:pPr>
        <w:jc w:val="both"/>
      </w:pPr>
    </w:p>
    <w:p w:rsidR="00803A1C" w:rsidRPr="00C9239E" w:rsidRDefault="00803A1C" w:rsidP="00803A1C">
      <w:pPr>
        <w:jc w:val="both"/>
        <w:rPr>
          <w:u w:val="single"/>
        </w:rPr>
      </w:pPr>
      <w:r w:rsidRPr="00C9239E">
        <w:rPr>
          <w:u w:val="single"/>
        </w:rPr>
        <w:t>Προτείνονται για μελέτη:</w:t>
      </w:r>
    </w:p>
    <w:p w:rsidR="00803A1C" w:rsidRPr="00C9239E" w:rsidRDefault="00803A1C" w:rsidP="00803A1C">
      <w:pPr>
        <w:jc w:val="both"/>
      </w:pPr>
      <w:r w:rsidRPr="00C9239E">
        <w:t>•</w:t>
      </w:r>
      <w:r w:rsidRPr="00C9239E">
        <w:tab/>
        <w:t xml:space="preserve">Ν. </w:t>
      </w:r>
      <w:proofErr w:type="spellStart"/>
      <w:r w:rsidRPr="00C9239E">
        <w:t>Καραπιδάκης</w:t>
      </w:r>
      <w:proofErr w:type="spellEnd"/>
      <w:r w:rsidRPr="00C9239E">
        <w:t xml:space="preserve">, «Από την ιστορία των πόλεων. Η διαμόρφωση της ομάδας των Κερκυραίων πολιτών. ΙΕ΄-ΙΣΤ΄ αιώνες», </w:t>
      </w:r>
      <w:proofErr w:type="spellStart"/>
      <w:r w:rsidRPr="00C9239E">
        <w:t>Εώα</w:t>
      </w:r>
      <w:proofErr w:type="spellEnd"/>
      <w:r w:rsidRPr="00C9239E">
        <w:t xml:space="preserve"> και Εσπέρια 1 (1993), 133-143.</w:t>
      </w:r>
    </w:p>
    <w:p w:rsidR="00803A1C" w:rsidRPr="00C9239E" w:rsidRDefault="00803A1C" w:rsidP="00803A1C">
      <w:pPr>
        <w:jc w:val="both"/>
      </w:pPr>
      <w:r w:rsidRPr="00C9239E">
        <w:t>•</w:t>
      </w:r>
      <w:r w:rsidRPr="00C9239E">
        <w:tab/>
        <w:t xml:space="preserve">Ν. </w:t>
      </w:r>
      <w:proofErr w:type="spellStart"/>
      <w:r w:rsidRPr="00C9239E">
        <w:t>Καραπιδάκης</w:t>
      </w:r>
      <w:proofErr w:type="spellEnd"/>
      <w:r w:rsidRPr="00C9239E">
        <w:t xml:space="preserve">, «Η κερκυραϊκή ευγένεια των αρχών του </w:t>
      </w:r>
      <w:proofErr w:type="spellStart"/>
      <w:r w:rsidRPr="00C9239E">
        <w:t>ιζ΄</w:t>
      </w:r>
      <w:proofErr w:type="spellEnd"/>
      <w:r w:rsidRPr="00C9239E">
        <w:t xml:space="preserve"> αιώνα», Τα Ιστορικά 2/3 (1985), 95-124. </w:t>
      </w:r>
    </w:p>
    <w:p w:rsidR="00803A1C" w:rsidRPr="00C9239E" w:rsidRDefault="00803A1C" w:rsidP="00803A1C">
      <w:pPr>
        <w:jc w:val="both"/>
      </w:pPr>
      <w:r w:rsidRPr="00C9239E">
        <w:t>•</w:t>
      </w:r>
      <w:r w:rsidRPr="00C9239E">
        <w:tab/>
        <w:t xml:space="preserve">Αναστασία </w:t>
      </w:r>
      <w:proofErr w:type="spellStart"/>
      <w:r w:rsidRPr="00C9239E">
        <w:t>Παπαδία</w:t>
      </w:r>
      <w:proofErr w:type="spellEnd"/>
      <w:r w:rsidRPr="00C9239E">
        <w:t xml:space="preserve">-Λάλα, Ο θεσμός των αστικών κοινοτήτων στον ελληνικό χώρο κατά την περίοδο της </w:t>
      </w:r>
      <w:proofErr w:type="spellStart"/>
      <w:r w:rsidRPr="00C9239E">
        <w:t>βενετοκρατίας</w:t>
      </w:r>
      <w:proofErr w:type="spellEnd"/>
      <w:r w:rsidRPr="00C9239E">
        <w:t xml:space="preserve"> (13ος-18ος αι.). Μια συνθετική προσέγγιση, Βενετία 2004 [Βιβλιοθήκη του Ελληνικού Ινστιτούτου του Βυζαντινών και Μεταβυζαντινών Σπουδών Βενετίας, αρ. 24].</w:t>
      </w:r>
    </w:p>
    <w:p w:rsidR="00803A1C" w:rsidRPr="00C9239E" w:rsidRDefault="00803A1C" w:rsidP="00803A1C">
      <w:pPr>
        <w:jc w:val="both"/>
      </w:pPr>
      <w:r w:rsidRPr="00C9239E">
        <w:t>•</w:t>
      </w:r>
      <w:r w:rsidRPr="00C9239E">
        <w:tab/>
        <w:t xml:space="preserve">Αναστασία </w:t>
      </w:r>
      <w:proofErr w:type="spellStart"/>
      <w:r w:rsidRPr="00C9239E">
        <w:t>Παπαδία</w:t>
      </w:r>
      <w:proofErr w:type="spellEnd"/>
      <w:r w:rsidRPr="00C9239E">
        <w:t xml:space="preserve">-Λάλα, «Οι Έλληνες και η βενετική πραγματικότητα: Ιδεολογική και κοινωνική συγκρότηση», Όψεις της ιστορίας του βενετοκρατούμενου </w:t>
      </w:r>
      <w:proofErr w:type="spellStart"/>
      <w:r w:rsidRPr="00C9239E">
        <w:lastRenderedPageBreak/>
        <w:t>Ελληνισμου</w:t>
      </w:r>
      <w:proofErr w:type="spellEnd"/>
      <w:r w:rsidRPr="00C9239E">
        <w:t xml:space="preserve">, Αρχειακά τεκμήρια, επιστημονική διεύθυνση Χρύσα </w:t>
      </w:r>
      <w:proofErr w:type="spellStart"/>
      <w:r w:rsidRPr="00C9239E">
        <w:t>Μαλτέζου</w:t>
      </w:r>
      <w:proofErr w:type="spellEnd"/>
      <w:r w:rsidRPr="00C9239E">
        <w:t xml:space="preserve">, Αθήνα 1993, </w:t>
      </w:r>
      <w:proofErr w:type="spellStart"/>
      <w:r w:rsidRPr="00C9239E">
        <w:t>εκδ</w:t>
      </w:r>
      <w:proofErr w:type="spellEnd"/>
      <w:r w:rsidRPr="00C9239E">
        <w:t>. Ιδρύματος Ελληνικού Πολιτισμού, σ. 185-197.</w:t>
      </w:r>
    </w:p>
    <w:p w:rsidR="00803A1C" w:rsidRPr="00C9239E" w:rsidRDefault="00803A1C" w:rsidP="00803A1C">
      <w:pPr>
        <w:jc w:val="both"/>
      </w:pPr>
      <w:r w:rsidRPr="00C9239E">
        <w:t>•</w:t>
      </w:r>
      <w:r w:rsidRPr="00C9239E">
        <w:tab/>
        <w:t xml:space="preserve">Αναστασία </w:t>
      </w:r>
      <w:proofErr w:type="spellStart"/>
      <w:r w:rsidRPr="00C9239E">
        <w:t>Παπαδία</w:t>
      </w:r>
      <w:proofErr w:type="spellEnd"/>
      <w:r w:rsidRPr="00C9239E">
        <w:t xml:space="preserve">-Λάλα, «Κοινωνική συγκρότηση στις πόλεις», Βενετοκρατούμενη Ελλάδα. Προσεγγίζοντας την ιστορία της, τ. Α΄, επιστημονική διεύθυνση Χρύσα </w:t>
      </w:r>
      <w:proofErr w:type="spellStart"/>
      <w:r w:rsidRPr="00C9239E">
        <w:t>Μαλτέζου</w:t>
      </w:r>
      <w:proofErr w:type="spellEnd"/>
      <w:r w:rsidRPr="00C9239E">
        <w:t>, Αθήνα-Βενετία 2010, σ. 105-127.</w:t>
      </w:r>
    </w:p>
    <w:p w:rsidR="00803A1C" w:rsidRPr="00C9239E" w:rsidRDefault="00803A1C" w:rsidP="00803A1C">
      <w:pPr>
        <w:jc w:val="both"/>
      </w:pPr>
      <w:r w:rsidRPr="00C9239E">
        <w:t>•</w:t>
      </w:r>
      <w:r w:rsidRPr="00C9239E">
        <w:tab/>
        <w:t xml:space="preserve">Παναγιώτα </w:t>
      </w:r>
      <w:proofErr w:type="spellStart"/>
      <w:r w:rsidRPr="00C9239E">
        <w:t>Τζιβάρα</w:t>
      </w:r>
      <w:proofErr w:type="spellEnd"/>
      <w:r w:rsidRPr="00C9239E">
        <w:t xml:space="preserve">, Βενετοκρατούμενη Ζάκυνθος 1588-1594. Η νομή και η διαχείριση της εξουσίας από το Συμβούλιο των 150, </w:t>
      </w:r>
      <w:proofErr w:type="spellStart"/>
      <w:r w:rsidRPr="00C9239E">
        <w:t>εκδ</w:t>
      </w:r>
      <w:proofErr w:type="spellEnd"/>
      <w:r w:rsidRPr="00C9239E">
        <w:t>. Ενάλιος, Αθήνα 2009.</w:t>
      </w:r>
    </w:p>
    <w:p w:rsidR="00803A1C" w:rsidRPr="00C9239E" w:rsidRDefault="00803A1C" w:rsidP="00803A1C">
      <w:pPr>
        <w:jc w:val="both"/>
      </w:pPr>
    </w:p>
    <w:p w:rsidR="00337F6B" w:rsidRDefault="001614D9"/>
    <w:sectPr w:rsidR="00337F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3EB"/>
    <w:multiLevelType w:val="hybridMultilevel"/>
    <w:tmpl w:val="FB6E4AD8"/>
    <w:lvl w:ilvl="0" w:tplc="D7766620">
      <w:start w:val="1"/>
      <w:numFmt w:val="bullet"/>
      <w:lvlText w:val="•"/>
      <w:lvlJc w:val="left"/>
      <w:pPr>
        <w:tabs>
          <w:tab w:val="num" w:pos="720"/>
        </w:tabs>
        <w:ind w:left="720" w:hanging="360"/>
      </w:pPr>
      <w:rPr>
        <w:rFonts w:ascii="Times New Roman" w:hAnsi="Times New Roman" w:hint="default"/>
      </w:rPr>
    </w:lvl>
    <w:lvl w:ilvl="1" w:tplc="37B0A23A" w:tentative="1">
      <w:start w:val="1"/>
      <w:numFmt w:val="bullet"/>
      <w:lvlText w:val="•"/>
      <w:lvlJc w:val="left"/>
      <w:pPr>
        <w:tabs>
          <w:tab w:val="num" w:pos="1440"/>
        </w:tabs>
        <w:ind w:left="1440" w:hanging="360"/>
      </w:pPr>
      <w:rPr>
        <w:rFonts w:ascii="Times New Roman" w:hAnsi="Times New Roman" w:hint="default"/>
      </w:rPr>
    </w:lvl>
    <w:lvl w:ilvl="2" w:tplc="35046C02" w:tentative="1">
      <w:start w:val="1"/>
      <w:numFmt w:val="bullet"/>
      <w:lvlText w:val="•"/>
      <w:lvlJc w:val="left"/>
      <w:pPr>
        <w:tabs>
          <w:tab w:val="num" w:pos="2160"/>
        </w:tabs>
        <w:ind w:left="2160" w:hanging="360"/>
      </w:pPr>
      <w:rPr>
        <w:rFonts w:ascii="Times New Roman" w:hAnsi="Times New Roman" w:hint="default"/>
      </w:rPr>
    </w:lvl>
    <w:lvl w:ilvl="3" w:tplc="0B5059C2" w:tentative="1">
      <w:start w:val="1"/>
      <w:numFmt w:val="bullet"/>
      <w:lvlText w:val="•"/>
      <w:lvlJc w:val="left"/>
      <w:pPr>
        <w:tabs>
          <w:tab w:val="num" w:pos="2880"/>
        </w:tabs>
        <w:ind w:left="2880" w:hanging="360"/>
      </w:pPr>
      <w:rPr>
        <w:rFonts w:ascii="Times New Roman" w:hAnsi="Times New Roman" w:hint="default"/>
      </w:rPr>
    </w:lvl>
    <w:lvl w:ilvl="4" w:tplc="C23E5FCA" w:tentative="1">
      <w:start w:val="1"/>
      <w:numFmt w:val="bullet"/>
      <w:lvlText w:val="•"/>
      <w:lvlJc w:val="left"/>
      <w:pPr>
        <w:tabs>
          <w:tab w:val="num" w:pos="3600"/>
        </w:tabs>
        <w:ind w:left="3600" w:hanging="360"/>
      </w:pPr>
      <w:rPr>
        <w:rFonts w:ascii="Times New Roman" w:hAnsi="Times New Roman" w:hint="default"/>
      </w:rPr>
    </w:lvl>
    <w:lvl w:ilvl="5" w:tplc="5DB0B9C6" w:tentative="1">
      <w:start w:val="1"/>
      <w:numFmt w:val="bullet"/>
      <w:lvlText w:val="•"/>
      <w:lvlJc w:val="left"/>
      <w:pPr>
        <w:tabs>
          <w:tab w:val="num" w:pos="4320"/>
        </w:tabs>
        <w:ind w:left="4320" w:hanging="360"/>
      </w:pPr>
      <w:rPr>
        <w:rFonts w:ascii="Times New Roman" w:hAnsi="Times New Roman" w:hint="default"/>
      </w:rPr>
    </w:lvl>
    <w:lvl w:ilvl="6" w:tplc="7E0AC574" w:tentative="1">
      <w:start w:val="1"/>
      <w:numFmt w:val="bullet"/>
      <w:lvlText w:val="•"/>
      <w:lvlJc w:val="left"/>
      <w:pPr>
        <w:tabs>
          <w:tab w:val="num" w:pos="5040"/>
        </w:tabs>
        <w:ind w:left="5040" w:hanging="360"/>
      </w:pPr>
      <w:rPr>
        <w:rFonts w:ascii="Times New Roman" w:hAnsi="Times New Roman" w:hint="default"/>
      </w:rPr>
    </w:lvl>
    <w:lvl w:ilvl="7" w:tplc="85C68C5C" w:tentative="1">
      <w:start w:val="1"/>
      <w:numFmt w:val="bullet"/>
      <w:lvlText w:val="•"/>
      <w:lvlJc w:val="left"/>
      <w:pPr>
        <w:tabs>
          <w:tab w:val="num" w:pos="5760"/>
        </w:tabs>
        <w:ind w:left="5760" w:hanging="360"/>
      </w:pPr>
      <w:rPr>
        <w:rFonts w:ascii="Times New Roman" w:hAnsi="Times New Roman" w:hint="default"/>
      </w:rPr>
    </w:lvl>
    <w:lvl w:ilvl="8" w:tplc="34E21A8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5692FEE"/>
    <w:multiLevelType w:val="hybridMultilevel"/>
    <w:tmpl w:val="02966EFE"/>
    <w:lvl w:ilvl="0" w:tplc="62908C2E">
      <w:start w:val="1"/>
      <w:numFmt w:val="bullet"/>
      <w:lvlText w:val="•"/>
      <w:lvlJc w:val="left"/>
      <w:pPr>
        <w:tabs>
          <w:tab w:val="num" w:pos="720"/>
        </w:tabs>
        <w:ind w:left="720" w:hanging="360"/>
      </w:pPr>
      <w:rPr>
        <w:rFonts w:ascii="Times New Roman" w:hAnsi="Times New Roman" w:hint="default"/>
      </w:rPr>
    </w:lvl>
    <w:lvl w:ilvl="1" w:tplc="54A018D2" w:tentative="1">
      <w:start w:val="1"/>
      <w:numFmt w:val="bullet"/>
      <w:lvlText w:val="•"/>
      <w:lvlJc w:val="left"/>
      <w:pPr>
        <w:tabs>
          <w:tab w:val="num" w:pos="1440"/>
        </w:tabs>
        <w:ind w:left="1440" w:hanging="360"/>
      </w:pPr>
      <w:rPr>
        <w:rFonts w:ascii="Times New Roman" w:hAnsi="Times New Roman" w:hint="default"/>
      </w:rPr>
    </w:lvl>
    <w:lvl w:ilvl="2" w:tplc="A7749848" w:tentative="1">
      <w:start w:val="1"/>
      <w:numFmt w:val="bullet"/>
      <w:lvlText w:val="•"/>
      <w:lvlJc w:val="left"/>
      <w:pPr>
        <w:tabs>
          <w:tab w:val="num" w:pos="2160"/>
        </w:tabs>
        <w:ind w:left="2160" w:hanging="360"/>
      </w:pPr>
      <w:rPr>
        <w:rFonts w:ascii="Times New Roman" w:hAnsi="Times New Roman" w:hint="default"/>
      </w:rPr>
    </w:lvl>
    <w:lvl w:ilvl="3" w:tplc="671E5798" w:tentative="1">
      <w:start w:val="1"/>
      <w:numFmt w:val="bullet"/>
      <w:lvlText w:val="•"/>
      <w:lvlJc w:val="left"/>
      <w:pPr>
        <w:tabs>
          <w:tab w:val="num" w:pos="2880"/>
        </w:tabs>
        <w:ind w:left="2880" w:hanging="360"/>
      </w:pPr>
      <w:rPr>
        <w:rFonts w:ascii="Times New Roman" w:hAnsi="Times New Roman" w:hint="default"/>
      </w:rPr>
    </w:lvl>
    <w:lvl w:ilvl="4" w:tplc="C5C215A6" w:tentative="1">
      <w:start w:val="1"/>
      <w:numFmt w:val="bullet"/>
      <w:lvlText w:val="•"/>
      <w:lvlJc w:val="left"/>
      <w:pPr>
        <w:tabs>
          <w:tab w:val="num" w:pos="3600"/>
        </w:tabs>
        <w:ind w:left="3600" w:hanging="360"/>
      </w:pPr>
      <w:rPr>
        <w:rFonts w:ascii="Times New Roman" w:hAnsi="Times New Roman" w:hint="default"/>
      </w:rPr>
    </w:lvl>
    <w:lvl w:ilvl="5" w:tplc="D400806A" w:tentative="1">
      <w:start w:val="1"/>
      <w:numFmt w:val="bullet"/>
      <w:lvlText w:val="•"/>
      <w:lvlJc w:val="left"/>
      <w:pPr>
        <w:tabs>
          <w:tab w:val="num" w:pos="4320"/>
        </w:tabs>
        <w:ind w:left="4320" w:hanging="360"/>
      </w:pPr>
      <w:rPr>
        <w:rFonts w:ascii="Times New Roman" w:hAnsi="Times New Roman" w:hint="default"/>
      </w:rPr>
    </w:lvl>
    <w:lvl w:ilvl="6" w:tplc="EFECDEF4" w:tentative="1">
      <w:start w:val="1"/>
      <w:numFmt w:val="bullet"/>
      <w:lvlText w:val="•"/>
      <w:lvlJc w:val="left"/>
      <w:pPr>
        <w:tabs>
          <w:tab w:val="num" w:pos="5040"/>
        </w:tabs>
        <w:ind w:left="5040" w:hanging="360"/>
      </w:pPr>
      <w:rPr>
        <w:rFonts w:ascii="Times New Roman" w:hAnsi="Times New Roman" w:hint="default"/>
      </w:rPr>
    </w:lvl>
    <w:lvl w:ilvl="7" w:tplc="C7CEAD84" w:tentative="1">
      <w:start w:val="1"/>
      <w:numFmt w:val="bullet"/>
      <w:lvlText w:val="•"/>
      <w:lvlJc w:val="left"/>
      <w:pPr>
        <w:tabs>
          <w:tab w:val="num" w:pos="5760"/>
        </w:tabs>
        <w:ind w:left="5760" w:hanging="360"/>
      </w:pPr>
      <w:rPr>
        <w:rFonts w:ascii="Times New Roman" w:hAnsi="Times New Roman" w:hint="default"/>
      </w:rPr>
    </w:lvl>
    <w:lvl w:ilvl="8" w:tplc="43BA828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C151434"/>
    <w:multiLevelType w:val="hybridMultilevel"/>
    <w:tmpl w:val="88DCDD04"/>
    <w:lvl w:ilvl="0" w:tplc="7BA28360">
      <w:start w:val="1"/>
      <w:numFmt w:val="bullet"/>
      <w:lvlText w:val="•"/>
      <w:lvlJc w:val="left"/>
      <w:pPr>
        <w:tabs>
          <w:tab w:val="num" w:pos="720"/>
        </w:tabs>
        <w:ind w:left="720" w:hanging="360"/>
      </w:pPr>
      <w:rPr>
        <w:rFonts w:ascii="Times New Roman" w:hAnsi="Times New Roman" w:hint="default"/>
      </w:rPr>
    </w:lvl>
    <w:lvl w:ilvl="1" w:tplc="5C0000D6" w:tentative="1">
      <w:start w:val="1"/>
      <w:numFmt w:val="bullet"/>
      <w:lvlText w:val="•"/>
      <w:lvlJc w:val="left"/>
      <w:pPr>
        <w:tabs>
          <w:tab w:val="num" w:pos="1440"/>
        </w:tabs>
        <w:ind w:left="1440" w:hanging="360"/>
      </w:pPr>
      <w:rPr>
        <w:rFonts w:ascii="Times New Roman" w:hAnsi="Times New Roman" w:hint="default"/>
      </w:rPr>
    </w:lvl>
    <w:lvl w:ilvl="2" w:tplc="77A46DA8" w:tentative="1">
      <w:start w:val="1"/>
      <w:numFmt w:val="bullet"/>
      <w:lvlText w:val="•"/>
      <w:lvlJc w:val="left"/>
      <w:pPr>
        <w:tabs>
          <w:tab w:val="num" w:pos="2160"/>
        </w:tabs>
        <w:ind w:left="2160" w:hanging="360"/>
      </w:pPr>
      <w:rPr>
        <w:rFonts w:ascii="Times New Roman" w:hAnsi="Times New Roman" w:hint="default"/>
      </w:rPr>
    </w:lvl>
    <w:lvl w:ilvl="3" w:tplc="217E444C" w:tentative="1">
      <w:start w:val="1"/>
      <w:numFmt w:val="bullet"/>
      <w:lvlText w:val="•"/>
      <w:lvlJc w:val="left"/>
      <w:pPr>
        <w:tabs>
          <w:tab w:val="num" w:pos="2880"/>
        </w:tabs>
        <w:ind w:left="2880" w:hanging="360"/>
      </w:pPr>
      <w:rPr>
        <w:rFonts w:ascii="Times New Roman" w:hAnsi="Times New Roman" w:hint="default"/>
      </w:rPr>
    </w:lvl>
    <w:lvl w:ilvl="4" w:tplc="6784D1D2" w:tentative="1">
      <w:start w:val="1"/>
      <w:numFmt w:val="bullet"/>
      <w:lvlText w:val="•"/>
      <w:lvlJc w:val="left"/>
      <w:pPr>
        <w:tabs>
          <w:tab w:val="num" w:pos="3600"/>
        </w:tabs>
        <w:ind w:left="3600" w:hanging="360"/>
      </w:pPr>
      <w:rPr>
        <w:rFonts w:ascii="Times New Roman" w:hAnsi="Times New Roman" w:hint="default"/>
      </w:rPr>
    </w:lvl>
    <w:lvl w:ilvl="5" w:tplc="11CE5356" w:tentative="1">
      <w:start w:val="1"/>
      <w:numFmt w:val="bullet"/>
      <w:lvlText w:val="•"/>
      <w:lvlJc w:val="left"/>
      <w:pPr>
        <w:tabs>
          <w:tab w:val="num" w:pos="4320"/>
        </w:tabs>
        <w:ind w:left="4320" w:hanging="360"/>
      </w:pPr>
      <w:rPr>
        <w:rFonts w:ascii="Times New Roman" w:hAnsi="Times New Roman" w:hint="default"/>
      </w:rPr>
    </w:lvl>
    <w:lvl w:ilvl="6" w:tplc="A4DE69A6" w:tentative="1">
      <w:start w:val="1"/>
      <w:numFmt w:val="bullet"/>
      <w:lvlText w:val="•"/>
      <w:lvlJc w:val="left"/>
      <w:pPr>
        <w:tabs>
          <w:tab w:val="num" w:pos="5040"/>
        </w:tabs>
        <w:ind w:left="5040" w:hanging="360"/>
      </w:pPr>
      <w:rPr>
        <w:rFonts w:ascii="Times New Roman" w:hAnsi="Times New Roman" w:hint="default"/>
      </w:rPr>
    </w:lvl>
    <w:lvl w:ilvl="7" w:tplc="833AEAD8" w:tentative="1">
      <w:start w:val="1"/>
      <w:numFmt w:val="bullet"/>
      <w:lvlText w:val="•"/>
      <w:lvlJc w:val="left"/>
      <w:pPr>
        <w:tabs>
          <w:tab w:val="num" w:pos="5760"/>
        </w:tabs>
        <w:ind w:left="5760" w:hanging="360"/>
      </w:pPr>
      <w:rPr>
        <w:rFonts w:ascii="Times New Roman" w:hAnsi="Times New Roman" w:hint="default"/>
      </w:rPr>
    </w:lvl>
    <w:lvl w:ilvl="8" w:tplc="10CCB664" w:tentative="1">
      <w:start w:val="1"/>
      <w:numFmt w:val="bullet"/>
      <w:lvlText w:val="•"/>
      <w:lvlJc w:val="left"/>
      <w:pPr>
        <w:tabs>
          <w:tab w:val="num" w:pos="6480"/>
        </w:tabs>
        <w:ind w:left="6480" w:hanging="360"/>
      </w:pPr>
      <w:rPr>
        <w:rFonts w:ascii="Times New Roman" w:hAnsi="Times New Roman" w:hint="default"/>
      </w:rPr>
    </w:lvl>
  </w:abstractNum>
  <w:abstractNum w:abstractNumId="3">
    <w:nsid w:val="3485220C"/>
    <w:multiLevelType w:val="hybridMultilevel"/>
    <w:tmpl w:val="A3E065C4"/>
    <w:lvl w:ilvl="0" w:tplc="6AFA9A9C">
      <w:start w:val="1"/>
      <w:numFmt w:val="bullet"/>
      <w:lvlText w:val="•"/>
      <w:lvlJc w:val="left"/>
      <w:pPr>
        <w:tabs>
          <w:tab w:val="num" w:pos="720"/>
        </w:tabs>
        <w:ind w:left="720" w:hanging="360"/>
      </w:pPr>
      <w:rPr>
        <w:rFonts w:ascii="Times New Roman" w:hAnsi="Times New Roman" w:hint="default"/>
      </w:rPr>
    </w:lvl>
    <w:lvl w:ilvl="1" w:tplc="D4F8D982" w:tentative="1">
      <w:start w:val="1"/>
      <w:numFmt w:val="bullet"/>
      <w:lvlText w:val="•"/>
      <w:lvlJc w:val="left"/>
      <w:pPr>
        <w:tabs>
          <w:tab w:val="num" w:pos="1440"/>
        </w:tabs>
        <w:ind w:left="1440" w:hanging="360"/>
      </w:pPr>
      <w:rPr>
        <w:rFonts w:ascii="Times New Roman" w:hAnsi="Times New Roman" w:hint="default"/>
      </w:rPr>
    </w:lvl>
    <w:lvl w:ilvl="2" w:tplc="0A02533C" w:tentative="1">
      <w:start w:val="1"/>
      <w:numFmt w:val="bullet"/>
      <w:lvlText w:val="•"/>
      <w:lvlJc w:val="left"/>
      <w:pPr>
        <w:tabs>
          <w:tab w:val="num" w:pos="2160"/>
        </w:tabs>
        <w:ind w:left="2160" w:hanging="360"/>
      </w:pPr>
      <w:rPr>
        <w:rFonts w:ascii="Times New Roman" w:hAnsi="Times New Roman" w:hint="default"/>
      </w:rPr>
    </w:lvl>
    <w:lvl w:ilvl="3" w:tplc="AAE4A198" w:tentative="1">
      <w:start w:val="1"/>
      <w:numFmt w:val="bullet"/>
      <w:lvlText w:val="•"/>
      <w:lvlJc w:val="left"/>
      <w:pPr>
        <w:tabs>
          <w:tab w:val="num" w:pos="2880"/>
        </w:tabs>
        <w:ind w:left="2880" w:hanging="360"/>
      </w:pPr>
      <w:rPr>
        <w:rFonts w:ascii="Times New Roman" w:hAnsi="Times New Roman" w:hint="default"/>
      </w:rPr>
    </w:lvl>
    <w:lvl w:ilvl="4" w:tplc="D4426CE8" w:tentative="1">
      <w:start w:val="1"/>
      <w:numFmt w:val="bullet"/>
      <w:lvlText w:val="•"/>
      <w:lvlJc w:val="left"/>
      <w:pPr>
        <w:tabs>
          <w:tab w:val="num" w:pos="3600"/>
        </w:tabs>
        <w:ind w:left="3600" w:hanging="360"/>
      </w:pPr>
      <w:rPr>
        <w:rFonts w:ascii="Times New Roman" w:hAnsi="Times New Roman" w:hint="default"/>
      </w:rPr>
    </w:lvl>
    <w:lvl w:ilvl="5" w:tplc="74402564" w:tentative="1">
      <w:start w:val="1"/>
      <w:numFmt w:val="bullet"/>
      <w:lvlText w:val="•"/>
      <w:lvlJc w:val="left"/>
      <w:pPr>
        <w:tabs>
          <w:tab w:val="num" w:pos="4320"/>
        </w:tabs>
        <w:ind w:left="4320" w:hanging="360"/>
      </w:pPr>
      <w:rPr>
        <w:rFonts w:ascii="Times New Roman" w:hAnsi="Times New Roman" w:hint="default"/>
      </w:rPr>
    </w:lvl>
    <w:lvl w:ilvl="6" w:tplc="D614492E" w:tentative="1">
      <w:start w:val="1"/>
      <w:numFmt w:val="bullet"/>
      <w:lvlText w:val="•"/>
      <w:lvlJc w:val="left"/>
      <w:pPr>
        <w:tabs>
          <w:tab w:val="num" w:pos="5040"/>
        </w:tabs>
        <w:ind w:left="5040" w:hanging="360"/>
      </w:pPr>
      <w:rPr>
        <w:rFonts w:ascii="Times New Roman" w:hAnsi="Times New Roman" w:hint="default"/>
      </w:rPr>
    </w:lvl>
    <w:lvl w:ilvl="7" w:tplc="FA5077D4" w:tentative="1">
      <w:start w:val="1"/>
      <w:numFmt w:val="bullet"/>
      <w:lvlText w:val="•"/>
      <w:lvlJc w:val="left"/>
      <w:pPr>
        <w:tabs>
          <w:tab w:val="num" w:pos="5760"/>
        </w:tabs>
        <w:ind w:left="5760" w:hanging="360"/>
      </w:pPr>
      <w:rPr>
        <w:rFonts w:ascii="Times New Roman" w:hAnsi="Times New Roman" w:hint="default"/>
      </w:rPr>
    </w:lvl>
    <w:lvl w:ilvl="8" w:tplc="779AD802" w:tentative="1">
      <w:start w:val="1"/>
      <w:numFmt w:val="bullet"/>
      <w:lvlText w:val="•"/>
      <w:lvlJc w:val="left"/>
      <w:pPr>
        <w:tabs>
          <w:tab w:val="num" w:pos="6480"/>
        </w:tabs>
        <w:ind w:left="6480" w:hanging="360"/>
      </w:pPr>
      <w:rPr>
        <w:rFonts w:ascii="Times New Roman" w:hAnsi="Times New Roman" w:hint="default"/>
      </w:rPr>
    </w:lvl>
  </w:abstractNum>
  <w:abstractNum w:abstractNumId="4">
    <w:nsid w:val="39F65E8D"/>
    <w:multiLevelType w:val="hybridMultilevel"/>
    <w:tmpl w:val="7348FE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CA35239"/>
    <w:multiLevelType w:val="hybridMultilevel"/>
    <w:tmpl w:val="12EE870C"/>
    <w:lvl w:ilvl="0" w:tplc="5FB05532">
      <w:start w:val="1"/>
      <w:numFmt w:val="bullet"/>
      <w:lvlText w:val="•"/>
      <w:lvlJc w:val="left"/>
      <w:pPr>
        <w:tabs>
          <w:tab w:val="num" w:pos="720"/>
        </w:tabs>
        <w:ind w:left="720" w:hanging="360"/>
      </w:pPr>
      <w:rPr>
        <w:rFonts w:ascii="Times New Roman" w:hAnsi="Times New Roman" w:hint="default"/>
      </w:rPr>
    </w:lvl>
    <w:lvl w:ilvl="1" w:tplc="D166AD10" w:tentative="1">
      <w:start w:val="1"/>
      <w:numFmt w:val="bullet"/>
      <w:lvlText w:val="•"/>
      <w:lvlJc w:val="left"/>
      <w:pPr>
        <w:tabs>
          <w:tab w:val="num" w:pos="1440"/>
        </w:tabs>
        <w:ind w:left="1440" w:hanging="360"/>
      </w:pPr>
      <w:rPr>
        <w:rFonts w:ascii="Times New Roman" w:hAnsi="Times New Roman" w:hint="default"/>
      </w:rPr>
    </w:lvl>
    <w:lvl w:ilvl="2" w:tplc="EB2E0A4A" w:tentative="1">
      <w:start w:val="1"/>
      <w:numFmt w:val="bullet"/>
      <w:lvlText w:val="•"/>
      <w:lvlJc w:val="left"/>
      <w:pPr>
        <w:tabs>
          <w:tab w:val="num" w:pos="2160"/>
        </w:tabs>
        <w:ind w:left="2160" w:hanging="360"/>
      </w:pPr>
      <w:rPr>
        <w:rFonts w:ascii="Times New Roman" w:hAnsi="Times New Roman" w:hint="default"/>
      </w:rPr>
    </w:lvl>
    <w:lvl w:ilvl="3" w:tplc="0B6C8268" w:tentative="1">
      <w:start w:val="1"/>
      <w:numFmt w:val="bullet"/>
      <w:lvlText w:val="•"/>
      <w:lvlJc w:val="left"/>
      <w:pPr>
        <w:tabs>
          <w:tab w:val="num" w:pos="2880"/>
        </w:tabs>
        <w:ind w:left="2880" w:hanging="360"/>
      </w:pPr>
      <w:rPr>
        <w:rFonts w:ascii="Times New Roman" w:hAnsi="Times New Roman" w:hint="default"/>
      </w:rPr>
    </w:lvl>
    <w:lvl w:ilvl="4" w:tplc="5776BD16" w:tentative="1">
      <w:start w:val="1"/>
      <w:numFmt w:val="bullet"/>
      <w:lvlText w:val="•"/>
      <w:lvlJc w:val="left"/>
      <w:pPr>
        <w:tabs>
          <w:tab w:val="num" w:pos="3600"/>
        </w:tabs>
        <w:ind w:left="3600" w:hanging="360"/>
      </w:pPr>
      <w:rPr>
        <w:rFonts w:ascii="Times New Roman" w:hAnsi="Times New Roman" w:hint="default"/>
      </w:rPr>
    </w:lvl>
    <w:lvl w:ilvl="5" w:tplc="6FBE3A4C" w:tentative="1">
      <w:start w:val="1"/>
      <w:numFmt w:val="bullet"/>
      <w:lvlText w:val="•"/>
      <w:lvlJc w:val="left"/>
      <w:pPr>
        <w:tabs>
          <w:tab w:val="num" w:pos="4320"/>
        </w:tabs>
        <w:ind w:left="4320" w:hanging="360"/>
      </w:pPr>
      <w:rPr>
        <w:rFonts w:ascii="Times New Roman" w:hAnsi="Times New Roman" w:hint="default"/>
      </w:rPr>
    </w:lvl>
    <w:lvl w:ilvl="6" w:tplc="C1100D64" w:tentative="1">
      <w:start w:val="1"/>
      <w:numFmt w:val="bullet"/>
      <w:lvlText w:val="•"/>
      <w:lvlJc w:val="left"/>
      <w:pPr>
        <w:tabs>
          <w:tab w:val="num" w:pos="5040"/>
        </w:tabs>
        <w:ind w:left="5040" w:hanging="360"/>
      </w:pPr>
      <w:rPr>
        <w:rFonts w:ascii="Times New Roman" w:hAnsi="Times New Roman" w:hint="default"/>
      </w:rPr>
    </w:lvl>
    <w:lvl w:ilvl="7" w:tplc="16F2CA36" w:tentative="1">
      <w:start w:val="1"/>
      <w:numFmt w:val="bullet"/>
      <w:lvlText w:val="•"/>
      <w:lvlJc w:val="left"/>
      <w:pPr>
        <w:tabs>
          <w:tab w:val="num" w:pos="5760"/>
        </w:tabs>
        <w:ind w:left="5760" w:hanging="360"/>
      </w:pPr>
      <w:rPr>
        <w:rFonts w:ascii="Times New Roman" w:hAnsi="Times New Roman" w:hint="default"/>
      </w:rPr>
    </w:lvl>
    <w:lvl w:ilvl="8" w:tplc="33A82946" w:tentative="1">
      <w:start w:val="1"/>
      <w:numFmt w:val="bullet"/>
      <w:lvlText w:val="•"/>
      <w:lvlJc w:val="left"/>
      <w:pPr>
        <w:tabs>
          <w:tab w:val="num" w:pos="6480"/>
        </w:tabs>
        <w:ind w:left="6480" w:hanging="360"/>
      </w:pPr>
      <w:rPr>
        <w:rFonts w:ascii="Times New Roman" w:hAnsi="Times New Roman" w:hint="default"/>
      </w:rPr>
    </w:lvl>
  </w:abstractNum>
  <w:abstractNum w:abstractNumId="6">
    <w:nsid w:val="4EBF46FD"/>
    <w:multiLevelType w:val="hybridMultilevel"/>
    <w:tmpl w:val="420E70BE"/>
    <w:lvl w:ilvl="0" w:tplc="BA0CE916">
      <w:start w:val="1"/>
      <w:numFmt w:val="bullet"/>
      <w:lvlText w:val="•"/>
      <w:lvlJc w:val="left"/>
      <w:pPr>
        <w:tabs>
          <w:tab w:val="num" w:pos="720"/>
        </w:tabs>
        <w:ind w:left="720" w:hanging="360"/>
      </w:pPr>
      <w:rPr>
        <w:rFonts w:ascii="Times New Roman" w:hAnsi="Times New Roman" w:hint="default"/>
      </w:rPr>
    </w:lvl>
    <w:lvl w:ilvl="1" w:tplc="96606D86" w:tentative="1">
      <w:start w:val="1"/>
      <w:numFmt w:val="bullet"/>
      <w:lvlText w:val="•"/>
      <w:lvlJc w:val="left"/>
      <w:pPr>
        <w:tabs>
          <w:tab w:val="num" w:pos="1440"/>
        </w:tabs>
        <w:ind w:left="1440" w:hanging="360"/>
      </w:pPr>
      <w:rPr>
        <w:rFonts w:ascii="Times New Roman" w:hAnsi="Times New Roman" w:hint="default"/>
      </w:rPr>
    </w:lvl>
    <w:lvl w:ilvl="2" w:tplc="40E28950" w:tentative="1">
      <w:start w:val="1"/>
      <w:numFmt w:val="bullet"/>
      <w:lvlText w:val="•"/>
      <w:lvlJc w:val="left"/>
      <w:pPr>
        <w:tabs>
          <w:tab w:val="num" w:pos="2160"/>
        </w:tabs>
        <w:ind w:left="2160" w:hanging="360"/>
      </w:pPr>
      <w:rPr>
        <w:rFonts w:ascii="Times New Roman" w:hAnsi="Times New Roman" w:hint="default"/>
      </w:rPr>
    </w:lvl>
    <w:lvl w:ilvl="3" w:tplc="4D14725E" w:tentative="1">
      <w:start w:val="1"/>
      <w:numFmt w:val="bullet"/>
      <w:lvlText w:val="•"/>
      <w:lvlJc w:val="left"/>
      <w:pPr>
        <w:tabs>
          <w:tab w:val="num" w:pos="2880"/>
        </w:tabs>
        <w:ind w:left="2880" w:hanging="360"/>
      </w:pPr>
      <w:rPr>
        <w:rFonts w:ascii="Times New Roman" w:hAnsi="Times New Roman" w:hint="default"/>
      </w:rPr>
    </w:lvl>
    <w:lvl w:ilvl="4" w:tplc="1EF86840" w:tentative="1">
      <w:start w:val="1"/>
      <w:numFmt w:val="bullet"/>
      <w:lvlText w:val="•"/>
      <w:lvlJc w:val="left"/>
      <w:pPr>
        <w:tabs>
          <w:tab w:val="num" w:pos="3600"/>
        </w:tabs>
        <w:ind w:left="3600" w:hanging="360"/>
      </w:pPr>
      <w:rPr>
        <w:rFonts w:ascii="Times New Roman" w:hAnsi="Times New Roman" w:hint="default"/>
      </w:rPr>
    </w:lvl>
    <w:lvl w:ilvl="5" w:tplc="BA36397A" w:tentative="1">
      <w:start w:val="1"/>
      <w:numFmt w:val="bullet"/>
      <w:lvlText w:val="•"/>
      <w:lvlJc w:val="left"/>
      <w:pPr>
        <w:tabs>
          <w:tab w:val="num" w:pos="4320"/>
        </w:tabs>
        <w:ind w:left="4320" w:hanging="360"/>
      </w:pPr>
      <w:rPr>
        <w:rFonts w:ascii="Times New Roman" w:hAnsi="Times New Roman" w:hint="default"/>
      </w:rPr>
    </w:lvl>
    <w:lvl w:ilvl="6" w:tplc="7E0C0000" w:tentative="1">
      <w:start w:val="1"/>
      <w:numFmt w:val="bullet"/>
      <w:lvlText w:val="•"/>
      <w:lvlJc w:val="left"/>
      <w:pPr>
        <w:tabs>
          <w:tab w:val="num" w:pos="5040"/>
        </w:tabs>
        <w:ind w:left="5040" w:hanging="360"/>
      </w:pPr>
      <w:rPr>
        <w:rFonts w:ascii="Times New Roman" w:hAnsi="Times New Roman" w:hint="default"/>
      </w:rPr>
    </w:lvl>
    <w:lvl w:ilvl="7" w:tplc="387EB964" w:tentative="1">
      <w:start w:val="1"/>
      <w:numFmt w:val="bullet"/>
      <w:lvlText w:val="•"/>
      <w:lvlJc w:val="left"/>
      <w:pPr>
        <w:tabs>
          <w:tab w:val="num" w:pos="5760"/>
        </w:tabs>
        <w:ind w:left="5760" w:hanging="360"/>
      </w:pPr>
      <w:rPr>
        <w:rFonts w:ascii="Times New Roman" w:hAnsi="Times New Roman" w:hint="default"/>
      </w:rPr>
    </w:lvl>
    <w:lvl w:ilvl="8" w:tplc="AEBCCDD8" w:tentative="1">
      <w:start w:val="1"/>
      <w:numFmt w:val="bullet"/>
      <w:lvlText w:val="•"/>
      <w:lvlJc w:val="left"/>
      <w:pPr>
        <w:tabs>
          <w:tab w:val="num" w:pos="6480"/>
        </w:tabs>
        <w:ind w:left="6480" w:hanging="360"/>
      </w:pPr>
      <w:rPr>
        <w:rFonts w:ascii="Times New Roman" w:hAnsi="Times New Roman" w:hint="default"/>
      </w:rPr>
    </w:lvl>
  </w:abstractNum>
  <w:abstractNum w:abstractNumId="7">
    <w:nsid w:val="776B2748"/>
    <w:multiLevelType w:val="hybridMultilevel"/>
    <w:tmpl w:val="EC3097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7D4C2FC6"/>
    <w:multiLevelType w:val="hybridMultilevel"/>
    <w:tmpl w:val="FC1EBED6"/>
    <w:lvl w:ilvl="0" w:tplc="ACEA2270">
      <w:start w:val="1"/>
      <w:numFmt w:val="bullet"/>
      <w:lvlText w:val="•"/>
      <w:lvlJc w:val="left"/>
      <w:pPr>
        <w:tabs>
          <w:tab w:val="num" w:pos="720"/>
        </w:tabs>
        <w:ind w:left="720" w:hanging="360"/>
      </w:pPr>
      <w:rPr>
        <w:rFonts w:ascii="Times New Roman" w:hAnsi="Times New Roman" w:hint="default"/>
      </w:rPr>
    </w:lvl>
    <w:lvl w:ilvl="1" w:tplc="7236E386" w:tentative="1">
      <w:start w:val="1"/>
      <w:numFmt w:val="bullet"/>
      <w:lvlText w:val="•"/>
      <w:lvlJc w:val="left"/>
      <w:pPr>
        <w:tabs>
          <w:tab w:val="num" w:pos="1440"/>
        </w:tabs>
        <w:ind w:left="1440" w:hanging="360"/>
      </w:pPr>
      <w:rPr>
        <w:rFonts w:ascii="Times New Roman" w:hAnsi="Times New Roman" w:hint="default"/>
      </w:rPr>
    </w:lvl>
    <w:lvl w:ilvl="2" w:tplc="33FC94D2" w:tentative="1">
      <w:start w:val="1"/>
      <w:numFmt w:val="bullet"/>
      <w:lvlText w:val="•"/>
      <w:lvlJc w:val="left"/>
      <w:pPr>
        <w:tabs>
          <w:tab w:val="num" w:pos="2160"/>
        </w:tabs>
        <w:ind w:left="2160" w:hanging="360"/>
      </w:pPr>
      <w:rPr>
        <w:rFonts w:ascii="Times New Roman" w:hAnsi="Times New Roman" w:hint="default"/>
      </w:rPr>
    </w:lvl>
    <w:lvl w:ilvl="3" w:tplc="EA0A4998" w:tentative="1">
      <w:start w:val="1"/>
      <w:numFmt w:val="bullet"/>
      <w:lvlText w:val="•"/>
      <w:lvlJc w:val="left"/>
      <w:pPr>
        <w:tabs>
          <w:tab w:val="num" w:pos="2880"/>
        </w:tabs>
        <w:ind w:left="2880" w:hanging="360"/>
      </w:pPr>
      <w:rPr>
        <w:rFonts w:ascii="Times New Roman" w:hAnsi="Times New Roman" w:hint="default"/>
      </w:rPr>
    </w:lvl>
    <w:lvl w:ilvl="4" w:tplc="C2A24A18" w:tentative="1">
      <w:start w:val="1"/>
      <w:numFmt w:val="bullet"/>
      <w:lvlText w:val="•"/>
      <w:lvlJc w:val="left"/>
      <w:pPr>
        <w:tabs>
          <w:tab w:val="num" w:pos="3600"/>
        </w:tabs>
        <w:ind w:left="3600" w:hanging="360"/>
      </w:pPr>
      <w:rPr>
        <w:rFonts w:ascii="Times New Roman" w:hAnsi="Times New Roman" w:hint="default"/>
      </w:rPr>
    </w:lvl>
    <w:lvl w:ilvl="5" w:tplc="05246FEC" w:tentative="1">
      <w:start w:val="1"/>
      <w:numFmt w:val="bullet"/>
      <w:lvlText w:val="•"/>
      <w:lvlJc w:val="left"/>
      <w:pPr>
        <w:tabs>
          <w:tab w:val="num" w:pos="4320"/>
        </w:tabs>
        <w:ind w:left="4320" w:hanging="360"/>
      </w:pPr>
      <w:rPr>
        <w:rFonts w:ascii="Times New Roman" w:hAnsi="Times New Roman" w:hint="default"/>
      </w:rPr>
    </w:lvl>
    <w:lvl w:ilvl="6" w:tplc="4F42FDF2" w:tentative="1">
      <w:start w:val="1"/>
      <w:numFmt w:val="bullet"/>
      <w:lvlText w:val="•"/>
      <w:lvlJc w:val="left"/>
      <w:pPr>
        <w:tabs>
          <w:tab w:val="num" w:pos="5040"/>
        </w:tabs>
        <w:ind w:left="5040" w:hanging="360"/>
      </w:pPr>
      <w:rPr>
        <w:rFonts w:ascii="Times New Roman" w:hAnsi="Times New Roman" w:hint="default"/>
      </w:rPr>
    </w:lvl>
    <w:lvl w:ilvl="7" w:tplc="BF1293DA" w:tentative="1">
      <w:start w:val="1"/>
      <w:numFmt w:val="bullet"/>
      <w:lvlText w:val="•"/>
      <w:lvlJc w:val="left"/>
      <w:pPr>
        <w:tabs>
          <w:tab w:val="num" w:pos="5760"/>
        </w:tabs>
        <w:ind w:left="5760" w:hanging="360"/>
      </w:pPr>
      <w:rPr>
        <w:rFonts w:ascii="Times New Roman" w:hAnsi="Times New Roman" w:hint="default"/>
      </w:rPr>
    </w:lvl>
    <w:lvl w:ilvl="8" w:tplc="7ECE3BBE"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4"/>
  </w:num>
  <w:num w:numId="3">
    <w:abstractNumId w:val="2"/>
  </w:num>
  <w:num w:numId="4">
    <w:abstractNumId w:val="3"/>
  </w:num>
  <w:num w:numId="5">
    <w:abstractNumId w:val="8"/>
  </w:num>
  <w:num w:numId="6">
    <w:abstractNumId w:val="0"/>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C0F"/>
    <w:rsid w:val="001614D9"/>
    <w:rsid w:val="001E138F"/>
    <w:rsid w:val="002710EC"/>
    <w:rsid w:val="002A6B03"/>
    <w:rsid w:val="003D1142"/>
    <w:rsid w:val="003F4825"/>
    <w:rsid w:val="0046636A"/>
    <w:rsid w:val="005C4A01"/>
    <w:rsid w:val="005D28B2"/>
    <w:rsid w:val="005D5182"/>
    <w:rsid w:val="005D630E"/>
    <w:rsid w:val="005E234B"/>
    <w:rsid w:val="00636DF3"/>
    <w:rsid w:val="006B3C0F"/>
    <w:rsid w:val="00762E6C"/>
    <w:rsid w:val="007D6EEC"/>
    <w:rsid w:val="00803A1C"/>
    <w:rsid w:val="008160E7"/>
    <w:rsid w:val="00833355"/>
    <w:rsid w:val="008B1DF6"/>
    <w:rsid w:val="008B6704"/>
    <w:rsid w:val="008C47BC"/>
    <w:rsid w:val="00A01427"/>
    <w:rsid w:val="00A4105C"/>
    <w:rsid w:val="00A7477D"/>
    <w:rsid w:val="00B6472D"/>
    <w:rsid w:val="00BA139C"/>
    <w:rsid w:val="00C06985"/>
    <w:rsid w:val="00CE1358"/>
    <w:rsid w:val="00CF0489"/>
    <w:rsid w:val="00D32E89"/>
    <w:rsid w:val="00D4074B"/>
    <w:rsid w:val="00E03420"/>
    <w:rsid w:val="00ED79F6"/>
    <w:rsid w:val="00F12252"/>
    <w:rsid w:val="00FA4689"/>
    <w:rsid w:val="00FB6A33"/>
    <w:rsid w:val="00FE74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C0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6B3C0F"/>
    <w:pPr>
      <w:keepNext/>
      <w:spacing w:before="240" w:after="60"/>
      <w:outlineLvl w:val="0"/>
    </w:pPr>
    <w:rPr>
      <w:rFonts w:ascii="Arial" w:hAnsi="Arial" w:cs="Arial"/>
      <w:b/>
      <w:bCs/>
      <w:kern w:val="32"/>
      <w:sz w:val="32"/>
      <w:szCs w:val="32"/>
    </w:rPr>
  </w:style>
  <w:style w:type="paragraph" w:styleId="2">
    <w:name w:val="heading 2"/>
    <w:basedOn w:val="a"/>
    <w:next w:val="a"/>
    <w:link w:val="2Char"/>
    <w:qFormat/>
    <w:rsid w:val="006B3C0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B3C0F"/>
    <w:rPr>
      <w:rFonts w:ascii="Arial" w:eastAsia="Times New Roman" w:hAnsi="Arial" w:cs="Arial"/>
      <w:b/>
      <w:bCs/>
      <w:kern w:val="32"/>
      <w:sz w:val="32"/>
      <w:szCs w:val="32"/>
      <w:lang w:eastAsia="el-GR"/>
    </w:rPr>
  </w:style>
  <w:style w:type="character" w:customStyle="1" w:styleId="2Char">
    <w:name w:val="Επικεφαλίδα 2 Char"/>
    <w:basedOn w:val="a0"/>
    <w:link w:val="2"/>
    <w:rsid w:val="006B3C0F"/>
    <w:rPr>
      <w:rFonts w:ascii="Arial" w:eastAsia="Times New Roman" w:hAnsi="Arial" w:cs="Arial"/>
      <w:b/>
      <w:bCs/>
      <w:i/>
      <w:iCs/>
      <w:sz w:val="28"/>
      <w:szCs w:val="28"/>
      <w:lang w:eastAsia="el-GR"/>
    </w:rPr>
  </w:style>
  <w:style w:type="paragraph" w:styleId="a3">
    <w:name w:val="List Paragraph"/>
    <w:basedOn w:val="a"/>
    <w:uiPriority w:val="34"/>
    <w:qFormat/>
    <w:rsid w:val="005D63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C0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6B3C0F"/>
    <w:pPr>
      <w:keepNext/>
      <w:spacing w:before="240" w:after="60"/>
      <w:outlineLvl w:val="0"/>
    </w:pPr>
    <w:rPr>
      <w:rFonts w:ascii="Arial" w:hAnsi="Arial" w:cs="Arial"/>
      <w:b/>
      <w:bCs/>
      <w:kern w:val="32"/>
      <w:sz w:val="32"/>
      <w:szCs w:val="32"/>
    </w:rPr>
  </w:style>
  <w:style w:type="paragraph" w:styleId="2">
    <w:name w:val="heading 2"/>
    <w:basedOn w:val="a"/>
    <w:next w:val="a"/>
    <w:link w:val="2Char"/>
    <w:qFormat/>
    <w:rsid w:val="006B3C0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B3C0F"/>
    <w:rPr>
      <w:rFonts w:ascii="Arial" w:eastAsia="Times New Roman" w:hAnsi="Arial" w:cs="Arial"/>
      <w:b/>
      <w:bCs/>
      <w:kern w:val="32"/>
      <w:sz w:val="32"/>
      <w:szCs w:val="32"/>
      <w:lang w:eastAsia="el-GR"/>
    </w:rPr>
  </w:style>
  <w:style w:type="character" w:customStyle="1" w:styleId="2Char">
    <w:name w:val="Επικεφαλίδα 2 Char"/>
    <w:basedOn w:val="a0"/>
    <w:link w:val="2"/>
    <w:rsid w:val="006B3C0F"/>
    <w:rPr>
      <w:rFonts w:ascii="Arial" w:eastAsia="Times New Roman" w:hAnsi="Arial" w:cs="Arial"/>
      <w:b/>
      <w:bCs/>
      <w:i/>
      <w:iCs/>
      <w:sz w:val="28"/>
      <w:szCs w:val="28"/>
      <w:lang w:eastAsia="el-GR"/>
    </w:rPr>
  </w:style>
  <w:style w:type="paragraph" w:styleId="a3">
    <w:name w:val="List Paragraph"/>
    <w:basedOn w:val="a"/>
    <w:uiPriority w:val="34"/>
    <w:qFormat/>
    <w:rsid w:val="005D6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35877">
      <w:bodyDiv w:val="1"/>
      <w:marLeft w:val="0"/>
      <w:marRight w:val="0"/>
      <w:marTop w:val="0"/>
      <w:marBottom w:val="0"/>
      <w:divBdr>
        <w:top w:val="none" w:sz="0" w:space="0" w:color="auto"/>
        <w:left w:val="none" w:sz="0" w:space="0" w:color="auto"/>
        <w:bottom w:val="none" w:sz="0" w:space="0" w:color="auto"/>
        <w:right w:val="none" w:sz="0" w:space="0" w:color="auto"/>
      </w:divBdr>
      <w:divsChild>
        <w:div w:id="1248616736">
          <w:marLeft w:val="547"/>
          <w:marRight w:val="0"/>
          <w:marTop w:val="154"/>
          <w:marBottom w:val="0"/>
          <w:divBdr>
            <w:top w:val="none" w:sz="0" w:space="0" w:color="auto"/>
            <w:left w:val="none" w:sz="0" w:space="0" w:color="auto"/>
            <w:bottom w:val="none" w:sz="0" w:space="0" w:color="auto"/>
            <w:right w:val="none" w:sz="0" w:space="0" w:color="auto"/>
          </w:divBdr>
        </w:div>
        <w:div w:id="1456024186">
          <w:marLeft w:val="547"/>
          <w:marRight w:val="0"/>
          <w:marTop w:val="154"/>
          <w:marBottom w:val="0"/>
          <w:divBdr>
            <w:top w:val="none" w:sz="0" w:space="0" w:color="auto"/>
            <w:left w:val="none" w:sz="0" w:space="0" w:color="auto"/>
            <w:bottom w:val="none" w:sz="0" w:space="0" w:color="auto"/>
            <w:right w:val="none" w:sz="0" w:space="0" w:color="auto"/>
          </w:divBdr>
        </w:div>
      </w:divsChild>
    </w:div>
    <w:div w:id="395516580">
      <w:bodyDiv w:val="1"/>
      <w:marLeft w:val="0"/>
      <w:marRight w:val="0"/>
      <w:marTop w:val="0"/>
      <w:marBottom w:val="0"/>
      <w:divBdr>
        <w:top w:val="none" w:sz="0" w:space="0" w:color="auto"/>
        <w:left w:val="none" w:sz="0" w:space="0" w:color="auto"/>
        <w:bottom w:val="none" w:sz="0" w:space="0" w:color="auto"/>
        <w:right w:val="none" w:sz="0" w:space="0" w:color="auto"/>
      </w:divBdr>
      <w:divsChild>
        <w:div w:id="147092729">
          <w:marLeft w:val="547"/>
          <w:marRight w:val="0"/>
          <w:marTop w:val="154"/>
          <w:marBottom w:val="0"/>
          <w:divBdr>
            <w:top w:val="none" w:sz="0" w:space="0" w:color="auto"/>
            <w:left w:val="none" w:sz="0" w:space="0" w:color="auto"/>
            <w:bottom w:val="none" w:sz="0" w:space="0" w:color="auto"/>
            <w:right w:val="none" w:sz="0" w:space="0" w:color="auto"/>
          </w:divBdr>
        </w:div>
        <w:div w:id="911699716">
          <w:marLeft w:val="547"/>
          <w:marRight w:val="0"/>
          <w:marTop w:val="154"/>
          <w:marBottom w:val="0"/>
          <w:divBdr>
            <w:top w:val="none" w:sz="0" w:space="0" w:color="auto"/>
            <w:left w:val="none" w:sz="0" w:space="0" w:color="auto"/>
            <w:bottom w:val="none" w:sz="0" w:space="0" w:color="auto"/>
            <w:right w:val="none" w:sz="0" w:space="0" w:color="auto"/>
          </w:divBdr>
        </w:div>
        <w:div w:id="780994681">
          <w:marLeft w:val="547"/>
          <w:marRight w:val="0"/>
          <w:marTop w:val="154"/>
          <w:marBottom w:val="0"/>
          <w:divBdr>
            <w:top w:val="none" w:sz="0" w:space="0" w:color="auto"/>
            <w:left w:val="none" w:sz="0" w:space="0" w:color="auto"/>
            <w:bottom w:val="none" w:sz="0" w:space="0" w:color="auto"/>
            <w:right w:val="none" w:sz="0" w:space="0" w:color="auto"/>
          </w:divBdr>
        </w:div>
      </w:divsChild>
    </w:div>
    <w:div w:id="431322859">
      <w:bodyDiv w:val="1"/>
      <w:marLeft w:val="0"/>
      <w:marRight w:val="0"/>
      <w:marTop w:val="0"/>
      <w:marBottom w:val="0"/>
      <w:divBdr>
        <w:top w:val="none" w:sz="0" w:space="0" w:color="auto"/>
        <w:left w:val="none" w:sz="0" w:space="0" w:color="auto"/>
        <w:bottom w:val="none" w:sz="0" w:space="0" w:color="auto"/>
        <w:right w:val="none" w:sz="0" w:space="0" w:color="auto"/>
      </w:divBdr>
      <w:divsChild>
        <w:div w:id="385492462">
          <w:marLeft w:val="547"/>
          <w:marRight w:val="0"/>
          <w:marTop w:val="154"/>
          <w:marBottom w:val="0"/>
          <w:divBdr>
            <w:top w:val="none" w:sz="0" w:space="0" w:color="auto"/>
            <w:left w:val="none" w:sz="0" w:space="0" w:color="auto"/>
            <w:bottom w:val="none" w:sz="0" w:space="0" w:color="auto"/>
            <w:right w:val="none" w:sz="0" w:space="0" w:color="auto"/>
          </w:divBdr>
        </w:div>
        <w:div w:id="507794214">
          <w:marLeft w:val="547"/>
          <w:marRight w:val="0"/>
          <w:marTop w:val="154"/>
          <w:marBottom w:val="0"/>
          <w:divBdr>
            <w:top w:val="none" w:sz="0" w:space="0" w:color="auto"/>
            <w:left w:val="none" w:sz="0" w:space="0" w:color="auto"/>
            <w:bottom w:val="none" w:sz="0" w:space="0" w:color="auto"/>
            <w:right w:val="none" w:sz="0" w:space="0" w:color="auto"/>
          </w:divBdr>
        </w:div>
        <w:div w:id="999382403">
          <w:marLeft w:val="547"/>
          <w:marRight w:val="0"/>
          <w:marTop w:val="154"/>
          <w:marBottom w:val="0"/>
          <w:divBdr>
            <w:top w:val="none" w:sz="0" w:space="0" w:color="auto"/>
            <w:left w:val="none" w:sz="0" w:space="0" w:color="auto"/>
            <w:bottom w:val="none" w:sz="0" w:space="0" w:color="auto"/>
            <w:right w:val="none" w:sz="0" w:space="0" w:color="auto"/>
          </w:divBdr>
        </w:div>
      </w:divsChild>
    </w:div>
    <w:div w:id="978651829">
      <w:bodyDiv w:val="1"/>
      <w:marLeft w:val="0"/>
      <w:marRight w:val="0"/>
      <w:marTop w:val="0"/>
      <w:marBottom w:val="0"/>
      <w:divBdr>
        <w:top w:val="none" w:sz="0" w:space="0" w:color="auto"/>
        <w:left w:val="none" w:sz="0" w:space="0" w:color="auto"/>
        <w:bottom w:val="none" w:sz="0" w:space="0" w:color="auto"/>
        <w:right w:val="none" w:sz="0" w:space="0" w:color="auto"/>
      </w:divBdr>
      <w:divsChild>
        <w:div w:id="428623656">
          <w:marLeft w:val="547"/>
          <w:marRight w:val="0"/>
          <w:marTop w:val="154"/>
          <w:marBottom w:val="0"/>
          <w:divBdr>
            <w:top w:val="none" w:sz="0" w:space="0" w:color="auto"/>
            <w:left w:val="none" w:sz="0" w:space="0" w:color="auto"/>
            <w:bottom w:val="none" w:sz="0" w:space="0" w:color="auto"/>
            <w:right w:val="none" w:sz="0" w:space="0" w:color="auto"/>
          </w:divBdr>
        </w:div>
        <w:div w:id="1890140447">
          <w:marLeft w:val="547"/>
          <w:marRight w:val="0"/>
          <w:marTop w:val="154"/>
          <w:marBottom w:val="0"/>
          <w:divBdr>
            <w:top w:val="none" w:sz="0" w:space="0" w:color="auto"/>
            <w:left w:val="none" w:sz="0" w:space="0" w:color="auto"/>
            <w:bottom w:val="none" w:sz="0" w:space="0" w:color="auto"/>
            <w:right w:val="none" w:sz="0" w:space="0" w:color="auto"/>
          </w:divBdr>
        </w:div>
        <w:div w:id="112091284">
          <w:marLeft w:val="547"/>
          <w:marRight w:val="0"/>
          <w:marTop w:val="154"/>
          <w:marBottom w:val="0"/>
          <w:divBdr>
            <w:top w:val="none" w:sz="0" w:space="0" w:color="auto"/>
            <w:left w:val="none" w:sz="0" w:space="0" w:color="auto"/>
            <w:bottom w:val="none" w:sz="0" w:space="0" w:color="auto"/>
            <w:right w:val="none" w:sz="0" w:space="0" w:color="auto"/>
          </w:divBdr>
        </w:div>
        <w:div w:id="1771202311">
          <w:marLeft w:val="547"/>
          <w:marRight w:val="0"/>
          <w:marTop w:val="154"/>
          <w:marBottom w:val="0"/>
          <w:divBdr>
            <w:top w:val="none" w:sz="0" w:space="0" w:color="auto"/>
            <w:left w:val="none" w:sz="0" w:space="0" w:color="auto"/>
            <w:bottom w:val="none" w:sz="0" w:space="0" w:color="auto"/>
            <w:right w:val="none" w:sz="0" w:space="0" w:color="auto"/>
          </w:divBdr>
        </w:div>
        <w:div w:id="1936791478">
          <w:marLeft w:val="547"/>
          <w:marRight w:val="0"/>
          <w:marTop w:val="154"/>
          <w:marBottom w:val="0"/>
          <w:divBdr>
            <w:top w:val="none" w:sz="0" w:space="0" w:color="auto"/>
            <w:left w:val="none" w:sz="0" w:space="0" w:color="auto"/>
            <w:bottom w:val="none" w:sz="0" w:space="0" w:color="auto"/>
            <w:right w:val="none" w:sz="0" w:space="0" w:color="auto"/>
          </w:divBdr>
        </w:div>
      </w:divsChild>
    </w:div>
    <w:div w:id="1280257849">
      <w:bodyDiv w:val="1"/>
      <w:marLeft w:val="0"/>
      <w:marRight w:val="0"/>
      <w:marTop w:val="0"/>
      <w:marBottom w:val="0"/>
      <w:divBdr>
        <w:top w:val="none" w:sz="0" w:space="0" w:color="auto"/>
        <w:left w:val="none" w:sz="0" w:space="0" w:color="auto"/>
        <w:bottom w:val="none" w:sz="0" w:space="0" w:color="auto"/>
        <w:right w:val="none" w:sz="0" w:space="0" w:color="auto"/>
      </w:divBdr>
      <w:divsChild>
        <w:div w:id="790396419">
          <w:marLeft w:val="547"/>
          <w:marRight w:val="0"/>
          <w:marTop w:val="154"/>
          <w:marBottom w:val="0"/>
          <w:divBdr>
            <w:top w:val="none" w:sz="0" w:space="0" w:color="auto"/>
            <w:left w:val="none" w:sz="0" w:space="0" w:color="auto"/>
            <w:bottom w:val="none" w:sz="0" w:space="0" w:color="auto"/>
            <w:right w:val="none" w:sz="0" w:space="0" w:color="auto"/>
          </w:divBdr>
        </w:div>
        <w:div w:id="372464376">
          <w:marLeft w:val="547"/>
          <w:marRight w:val="0"/>
          <w:marTop w:val="154"/>
          <w:marBottom w:val="0"/>
          <w:divBdr>
            <w:top w:val="none" w:sz="0" w:space="0" w:color="auto"/>
            <w:left w:val="none" w:sz="0" w:space="0" w:color="auto"/>
            <w:bottom w:val="none" w:sz="0" w:space="0" w:color="auto"/>
            <w:right w:val="none" w:sz="0" w:space="0" w:color="auto"/>
          </w:divBdr>
        </w:div>
        <w:div w:id="1493791674">
          <w:marLeft w:val="547"/>
          <w:marRight w:val="0"/>
          <w:marTop w:val="154"/>
          <w:marBottom w:val="0"/>
          <w:divBdr>
            <w:top w:val="none" w:sz="0" w:space="0" w:color="auto"/>
            <w:left w:val="none" w:sz="0" w:space="0" w:color="auto"/>
            <w:bottom w:val="none" w:sz="0" w:space="0" w:color="auto"/>
            <w:right w:val="none" w:sz="0" w:space="0" w:color="auto"/>
          </w:divBdr>
        </w:div>
        <w:div w:id="1006982588">
          <w:marLeft w:val="547"/>
          <w:marRight w:val="0"/>
          <w:marTop w:val="154"/>
          <w:marBottom w:val="0"/>
          <w:divBdr>
            <w:top w:val="none" w:sz="0" w:space="0" w:color="auto"/>
            <w:left w:val="none" w:sz="0" w:space="0" w:color="auto"/>
            <w:bottom w:val="none" w:sz="0" w:space="0" w:color="auto"/>
            <w:right w:val="none" w:sz="0" w:space="0" w:color="auto"/>
          </w:divBdr>
        </w:div>
        <w:div w:id="1575434260">
          <w:marLeft w:val="547"/>
          <w:marRight w:val="0"/>
          <w:marTop w:val="154"/>
          <w:marBottom w:val="0"/>
          <w:divBdr>
            <w:top w:val="none" w:sz="0" w:space="0" w:color="auto"/>
            <w:left w:val="none" w:sz="0" w:space="0" w:color="auto"/>
            <w:bottom w:val="none" w:sz="0" w:space="0" w:color="auto"/>
            <w:right w:val="none" w:sz="0" w:space="0" w:color="auto"/>
          </w:divBdr>
        </w:div>
        <w:div w:id="1576937326">
          <w:marLeft w:val="547"/>
          <w:marRight w:val="0"/>
          <w:marTop w:val="154"/>
          <w:marBottom w:val="0"/>
          <w:divBdr>
            <w:top w:val="none" w:sz="0" w:space="0" w:color="auto"/>
            <w:left w:val="none" w:sz="0" w:space="0" w:color="auto"/>
            <w:bottom w:val="none" w:sz="0" w:space="0" w:color="auto"/>
            <w:right w:val="none" w:sz="0" w:space="0" w:color="auto"/>
          </w:divBdr>
        </w:div>
      </w:divsChild>
    </w:div>
    <w:div w:id="1497190844">
      <w:bodyDiv w:val="1"/>
      <w:marLeft w:val="0"/>
      <w:marRight w:val="0"/>
      <w:marTop w:val="0"/>
      <w:marBottom w:val="0"/>
      <w:divBdr>
        <w:top w:val="none" w:sz="0" w:space="0" w:color="auto"/>
        <w:left w:val="none" w:sz="0" w:space="0" w:color="auto"/>
        <w:bottom w:val="none" w:sz="0" w:space="0" w:color="auto"/>
        <w:right w:val="none" w:sz="0" w:space="0" w:color="auto"/>
      </w:divBdr>
      <w:divsChild>
        <w:div w:id="722289319">
          <w:marLeft w:val="547"/>
          <w:marRight w:val="0"/>
          <w:marTop w:val="154"/>
          <w:marBottom w:val="0"/>
          <w:divBdr>
            <w:top w:val="none" w:sz="0" w:space="0" w:color="auto"/>
            <w:left w:val="none" w:sz="0" w:space="0" w:color="auto"/>
            <w:bottom w:val="none" w:sz="0" w:space="0" w:color="auto"/>
            <w:right w:val="none" w:sz="0" w:space="0" w:color="auto"/>
          </w:divBdr>
        </w:div>
        <w:div w:id="2044016833">
          <w:marLeft w:val="547"/>
          <w:marRight w:val="0"/>
          <w:marTop w:val="154"/>
          <w:marBottom w:val="0"/>
          <w:divBdr>
            <w:top w:val="none" w:sz="0" w:space="0" w:color="auto"/>
            <w:left w:val="none" w:sz="0" w:space="0" w:color="auto"/>
            <w:bottom w:val="none" w:sz="0" w:space="0" w:color="auto"/>
            <w:right w:val="none" w:sz="0" w:space="0" w:color="auto"/>
          </w:divBdr>
        </w:div>
      </w:divsChild>
    </w:div>
    <w:div w:id="1979191017">
      <w:bodyDiv w:val="1"/>
      <w:marLeft w:val="0"/>
      <w:marRight w:val="0"/>
      <w:marTop w:val="0"/>
      <w:marBottom w:val="0"/>
      <w:divBdr>
        <w:top w:val="none" w:sz="0" w:space="0" w:color="auto"/>
        <w:left w:val="none" w:sz="0" w:space="0" w:color="auto"/>
        <w:bottom w:val="none" w:sz="0" w:space="0" w:color="auto"/>
        <w:right w:val="none" w:sz="0" w:space="0" w:color="auto"/>
      </w:divBdr>
      <w:divsChild>
        <w:div w:id="297803170">
          <w:marLeft w:val="547"/>
          <w:marRight w:val="0"/>
          <w:marTop w:val="154"/>
          <w:marBottom w:val="0"/>
          <w:divBdr>
            <w:top w:val="none" w:sz="0" w:space="0" w:color="auto"/>
            <w:left w:val="none" w:sz="0" w:space="0" w:color="auto"/>
            <w:bottom w:val="none" w:sz="0" w:space="0" w:color="auto"/>
            <w:right w:val="none" w:sz="0" w:space="0" w:color="auto"/>
          </w:divBdr>
        </w:div>
        <w:div w:id="114296668">
          <w:marLeft w:val="547"/>
          <w:marRight w:val="0"/>
          <w:marTop w:val="154"/>
          <w:marBottom w:val="0"/>
          <w:divBdr>
            <w:top w:val="none" w:sz="0" w:space="0" w:color="auto"/>
            <w:left w:val="none" w:sz="0" w:space="0" w:color="auto"/>
            <w:bottom w:val="none" w:sz="0" w:space="0" w:color="auto"/>
            <w:right w:val="none" w:sz="0" w:space="0" w:color="auto"/>
          </w:divBdr>
        </w:div>
        <w:div w:id="164150012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7</Pages>
  <Words>2931</Words>
  <Characters>15831</Characters>
  <Application>Microsoft Office Word</Application>
  <DocSecurity>0</DocSecurity>
  <Lines>131</Lines>
  <Paragraphs>37</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30</cp:revision>
  <dcterms:created xsi:type="dcterms:W3CDTF">2012-11-24T17:31:00Z</dcterms:created>
  <dcterms:modified xsi:type="dcterms:W3CDTF">2012-11-25T18:38:00Z</dcterms:modified>
</cp:coreProperties>
</file>