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26" w:rsidRPr="00131126" w:rsidRDefault="00131126" w:rsidP="00131126">
      <w:pPr>
        <w:shd w:val="clear" w:color="auto" w:fill="FFFFFF"/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Περιπτώσεις κατά τις οποίες τα Κράτη-μέλη εφαρμόζουν δίκαιο της Ένωσης – σύνοψη νομολογίας</w:t>
      </w:r>
    </w:p>
    <w:p w:rsidR="00131126" w:rsidRPr="00131126" w:rsidRDefault="00131126" w:rsidP="003C4B56">
      <w:pPr>
        <w:shd w:val="clear" w:color="auto" w:fill="FFFFFF"/>
        <w:jc w:val="both"/>
        <w:rPr>
          <w:rFonts w:asciiTheme="minorHAnsi" w:hAnsiTheme="minorHAnsi"/>
          <w:sz w:val="28"/>
          <w:szCs w:val="28"/>
        </w:rPr>
      </w:pPr>
    </w:p>
    <w:p w:rsidR="003C4B56" w:rsidRPr="003C4B56" w:rsidRDefault="003C4B56" w:rsidP="003C4B56">
      <w:pPr>
        <w:shd w:val="clear" w:color="auto" w:fill="FFFFFF"/>
        <w:jc w:val="both"/>
        <w:rPr>
          <w:rFonts w:asciiTheme="minorHAnsi" w:hAnsiTheme="minorHAnsi"/>
          <w:sz w:val="28"/>
          <w:szCs w:val="28"/>
        </w:rPr>
      </w:pPr>
      <w:r w:rsidRPr="003C4B56">
        <w:rPr>
          <w:rFonts w:asciiTheme="minorHAnsi" w:hAnsiTheme="minorHAnsi"/>
          <w:sz w:val="28"/>
          <w:szCs w:val="28"/>
        </w:rPr>
        <w:t xml:space="preserve">Κατά τη νομολογία του Δικαστηρίου </w:t>
      </w:r>
      <w:r w:rsidRPr="003C4B56">
        <w:rPr>
          <w:rFonts w:asciiTheme="minorHAnsi" w:hAnsiTheme="minorHAnsi"/>
          <w:i/>
          <w:sz w:val="28"/>
          <w:szCs w:val="28"/>
        </w:rPr>
        <w:t>«η εφαρμογή του δικαίου της Ένωσης»</w:t>
      </w:r>
      <w:r w:rsidRPr="003C4B56">
        <w:rPr>
          <w:rFonts w:asciiTheme="minorHAnsi" w:hAnsiTheme="minorHAnsi"/>
          <w:sz w:val="28"/>
          <w:szCs w:val="28"/>
        </w:rPr>
        <w:t xml:space="preserve"> καλύπτει: </w:t>
      </w:r>
    </w:p>
    <w:p w:rsidR="003C4B56" w:rsidRDefault="003C4B56" w:rsidP="003C4B56">
      <w:pPr>
        <w:shd w:val="clear" w:color="auto" w:fill="FFFFFF"/>
        <w:jc w:val="both"/>
        <w:rPr>
          <w:rFonts w:asciiTheme="minorHAnsi" w:hAnsiTheme="minorHAnsi"/>
          <w:i/>
          <w:sz w:val="28"/>
          <w:szCs w:val="28"/>
        </w:rPr>
      </w:pPr>
    </w:p>
    <w:p w:rsidR="003C4B56" w:rsidRPr="003C4B56" w:rsidRDefault="003C4B56" w:rsidP="003C4B56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Theme="minorHAnsi" w:hAnsiTheme="minorHAnsi"/>
          <w:i/>
          <w:sz w:val="28"/>
          <w:szCs w:val="28"/>
        </w:rPr>
      </w:pPr>
      <w:r w:rsidRPr="003C4B56">
        <w:rPr>
          <w:rFonts w:asciiTheme="minorHAnsi" w:hAnsiTheme="minorHAnsi"/>
          <w:b/>
          <w:i/>
          <w:sz w:val="28"/>
          <w:szCs w:val="28"/>
        </w:rPr>
        <w:t>Πρώτον,</w:t>
      </w:r>
      <w:r w:rsidRPr="003C4B56">
        <w:rPr>
          <w:rFonts w:asciiTheme="minorHAnsi" w:hAnsiTheme="minorHAnsi"/>
          <w:b/>
          <w:sz w:val="28"/>
          <w:szCs w:val="28"/>
        </w:rPr>
        <w:t xml:space="preserve"> τη νομοθετική δραστηριότητα και τις δικαστικές και διοικητικές πρακτικές ενός Κράτους-μέλους, όταν αυτό εκπληρώνει υποχρεώσεις που υπέχει δυνάμει του δικαίου της Ένωσης</w:t>
      </w:r>
      <w:r w:rsidRPr="003C4B56">
        <w:rPr>
          <w:rFonts w:asciiTheme="minorHAnsi" w:hAnsiTheme="minorHAnsi"/>
          <w:sz w:val="28"/>
          <w:szCs w:val="28"/>
        </w:rPr>
        <w:t xml:space="preserve"> (ΔΕΕ, υπόθεση </w:t>
      </w:r>
      <w:r w:rsidRPr="003C4B56">
        <w:rPr>
          <w:rFonts w:asciiTheme="minorHAnsi" w:hAnsiTheme="minorHAnsi"/>
          <w:sz w:val="28"/>
          <w:szCs w:val="28"/>
          <w:lang w:val="en-GB"/>
        </w:rPr>
        <w:t>C</w:t>
      </w:r>
      <w:r w:rsidRPr="003C4B56">
        <w:rPr>
          <w:rFonts w:asciiTheme="minorHAnsi" w:hAnsiTheme="minorHAnsi"/>
          <w:sz w:val="28"/>
          <w:szCs w:val="28"/>
        </w:rPr>
        <w:t xml:space="preserve">-300/11, </w:t>
      </w:r>
      <w:r w:rsidRPr="003C4B56">
        <w:rPr>
          <w:rFonts w:asciiTheme="minorHAnsi" w:hAnsiTheme="minorHAnsi"/>
          <w:i/>
          <w:sz w:val="28"/>
          <w:szCs w:val="28"/>
        </w:rPr>
        <w:t>Ζ</w:t>
      </w:r>
      <w:r w:rsidRPr="003C4B56">
        <w:rPr>
          <w:rFonts w:asciiTheme="minorHAnsi" w:hAnsiTheme="minorHAnsi"/>
          <w:i/>
          <w:sz w:val="28"/>
          <w:szCs w:val="28"/>
          <w:lang w:val="en-GB"/>
        </w:rPr>
        <w:t>Z</w:t>
      </w:r>
      <w:r w:rsidRPr="003C4B56">
        <w:rPr>
          <w:rFonts w:asciiTheme="minorHAnsi" w:hAnsiTheme="minorHAnsi"/>
          <w:i/>
          <w:sz w:val="28"/>
          <w:szCs w:val="28"/>
        </w:rPr>
        <w:t xml:space="preserve"> κατά </w:t>
      </w:r>
      <w:r w:rsidRPr="003C4B56">
        <w:rPr>
          <w:rFonts w:asciiTheme="minorHAnsi" w:hAnsiTheme="minorHAnsi"/>
          <w:i/>
          <w:sz w:val="28"/>
          <w:szCs w:val="28"/>
          <w:lang w:val="en-GB"/>
        </w:rPr>
        <w:t>Secretary</w:t>
      </w:r>
      <w:r w:rsidRPr="003C4B56">
        <w:rPr>
          <w:rFonts w:asciiTheme="minorHAnsi" w:hAnsiTheme="minorHAnsi"/>
          <w:i/>
          <w:sz w:val="28"/>
          <w:szCs w:val="28"/>
        </w:rPr>
        <w:t xml:space="preserve"> </w:t>
      </w:r>
      <w:r w:rsidRPr="003C4B56">
        <w:rPr>
          <w:rFonts w:asciiTheme="minorHAnsi" w:hAnsiTheme="minorHAnsi"/>
          <w:i/>
          <w:sz w:val="28"/>
          <w:szCs w:val="28"/>
          <w:lang w:val="en-GB"/>
        </w:rPr>
        <w:t>of</w:t>
      </w:r>
      <w:r w:rsidRPr="003C4B56">
        <w:rPr>
          <w:rFonts w:asciiTheme="minorHAnsi" w:hAnsiTheme="minorHAnsi"/>
          <w:i/>
          <w:sz w:val="28"/>
          <w:szCs w:val="28"/>
        </w:rPr>
        <w:t xml:space="preserve"> </w:t>
      </w:r>
      <w:r w:rsidRPr="003C4B56">
        <w:rPr>
          <w:rFonts w:asciiTheme="minorHAnsi" w:hAnsiTheme="minorHAnsi"/>
          <w:i/>
          <w:sz w:val="28"/>
          <w:szCs w:val="28"/>
          <w:lang w:val="en-GB"/>
        </w:rPr>
        <w:t>State</w:t>
      </w:r>
      <w:r w:rsidRPr="003C4B56">
        <w:rPr>
          <w:rFonts w:asciiTheme="minorHAnsi" w:hAnsiTheme="minorHAnsi"/>
          <w:i/>
          <w:sz w:val="28"/>
          <w:szCs w:val="28"/>
        </w:rPr>
        <w:t xml:space="preserve"> </w:t>
      </w:r>
      <w:r w:rsidRPr="003C4B56">
        <w:rPr>
          <w:rFonts w:asciiTheme="minorHAnsi" w:hAnsiTheme="minorHAnsi"/>
          <w:i/>
          <w:sz w:val="28"/>
          <w:szCs w:val="28"/>
          <w:lang w:val="en-GB"/>
        </w:rPr>
        <w:t>for</w:t>
      </w:r>
      <w:r w:rsidRPr="003C4B56">
        <w:rPr>
          <w:rFonts w:asciiTheme="minorHAnsi" w:hAnsiTheme="minorHAnsi"/>
          <w:i/>
          <w:sz w:val="28"/>
          <w:szCs w:val="28"/>
        </w:rPr>
        <w:t xml:space="preserve"> </w:t>
      </w:r>
      <w:r w:rsidRPr="003C4B56">
        <w:rPr>
          <w:rFonts w:asciiTheme="minorHAnsi" w:hAnsiTheme="minorHAnsi"/>
          <w:i/>
          <w:sz w:val="28"/>
          <w:szCs w:val="28"/>
          <w:lang w:val="en-GB"/>
        </w:rPr>
        <w:t>the</w:t>
      </w:r>
      <w:r w:rsidRPr="003C4B56">
        <w:rPr>
          <w:rFonts w:asciiTheme="minorHAnsi" w:hAnsiTheme="minorHAnsi"/>
          <w:i/>
          <w:sz w:val="28"/>
          <w:szCs w:val="28"/>
        </w:rPr>
        <w:t xml:space="preserve"> </w:t>
      </w:r>
      <w:r w:rsidRPr="003C4B56">
        <w:rPr>
          <w:rFonts w:asciiTheme="minorHAnsi" w:hAnsiTheme="minorHAnsi"/>
          <w:i/>
          <w:sz w:val="28"/>
          <w:szCs w:val="28"/>
          <w:lang w:val="en-GB"/>
        </w:rPr>
        <w:t>Home</w:t>
      </w:r>
      <w:r w:rsidRPr="003C4B56">
        <w:rPr>
          <w:rFonts w:asciiTheme="minorHAnsi" w:hAnsiTheme="minorHAnsi"/>
          <w:i/>
          <w:sz w:val="28"/>
          <w:szCs w:val="28"/>
        </w:rPr>
        <w:t xml:space="preserve"> </w:t>
      </w:r>
      <w:r w:rsidRPr="003C4B56">
        <w:rPr>
          <w:rFonts w:asciiTheme="minorHAnsi" w:hAnsiTheme="minorHAnsi"/>
          <w:i/>
          <w:sz w:val="28"/>
          <w:szCs w:val="28"/>
          <w:lang w:val="en-GB"/>
        </w:rPr>
        <w:t>Department</w:t>
      </w:r>
      <w:r w:rsidR="00131126" w:rsidRPr="00131126">
        <w:rPr>
          <w:rFonts w:asciiTheme="minorHAnsi" w:hAnsiTheme="minorHAnsi"/>
          <w:i/>
          <w:sz w:val="28"/>
          <w:szCs w:val="28"/>
        </w:rPr>
        <w:t>)</w:t>
      </w:r>
      <w:r w:rsidRPr="003C4B56">
        <w:rPr>
          <w:rFonts w:asciiTheme="minorHAnsi" w:hAnsiTheme="minorHAnsi"/>
          <w:sz w:val="28"/>
          <w:szCs w:val="28"/>
          <w:shd w:val="clear" w:color="auto" w:fill="FFFFFF"/>
        </w:rPr>
        <w:t>,</w:t>
      </w:r>
    </w:p>
    <w:p w:rsidR="003C4B56" w:rsidRDefault="003C4B56" w:rsidP="003C4B56">
      <w:pPr>
        <w:shd w:val="clear" w:color="auto" w:fill="FFFFFF"/>
        <w:jc w:val="both"/>
        <w:rPr>
          <w:rFonts w:asciiTheme="minorHAnsi" w:hAnsiTheme="minorHAnsi"/>
          <w:i/>
          <w:sz w:val="28"/>
          <w:szCs w:val="28"/>
        </w:rPr>
      </w:pPr>
    </w:p>
    <w:p w:rsidR="003C4B56" w:rsidRPr="003C4B56" w:rsidRDefault="003C4B56" w:rsidP="003C4B56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Theme="minorHAnsi" w:hAnsiTheme="minorHAnsi"/>
          <w:sz w:val="28"/>
          <w:szCs w:val="28"/>
        </w:rPr>
      </w:pPr>
      <w:r w:rsidRPr="003C4B56">
        <w:rPr>
          <w:rFonts w:asciiTheme="minorHAnsi" w:hAnsiTheme="minorHAnsi"/>
          <w:b/>
          <w:i/>
          <w:sz w:val="28"/>
          <w:szCs w:val="28"/>
        </w:rPr>
        <w:t>Δεύτερον,</w:t>
      </w:r>
      <w:r w:rsidRPr="003C4B56">
        <w:rPr>
          <w:rFonts w:asciiTheme="minorHAnsi" w:hAnsiTheme="minorHAnsi"/>
          <w:b/>
          <w:sz w:val="28"/>
          <w:szCs w:val="28"/>
        </w:rPr>
        <w:t xml:space="preserve"> όταν κάποια εθνική αρχή ασκεί διακριτική ευχέρεια ή ασκεί την εξουσία εκτιμήσεως η οποία αναγνωρίζεται από το δίκαιο της Ένωσης</w:t>
      </w:r>
      <w:r w:rsidRPr="003C4B56">
        <w:rPr>
          <w:rFonts w:asciiTheme="minorHAnsi" w:hAnsiTheme="minorHAnsi"/>
          <w:sz w:val="28"/>
          <w:szCs w:val="28"/>
        </w:rPr>
        <w:t xml:space="preserve"> (ΔΕΕ, υποθέσεις 411/10 και 493/10, </w:t>
      </w:r>
      <w:r w:rsidRPr="003C4B56">
        <w:rPr>
          <w:rFonts w:asciiTheme="minorHAnsi" w:hAnsiTheme="minorHAnsi"/>
          <w:i/>
          <w:sz w:val="28"/>
          <w:szCs w:val="28"/>
          <w:lang w:val="en-US"/>
        </w:rPr>
        <w:t>N</w:t>
      </w:r>
      <w:r w:rsidRPr="003C4B56">
        <w:rPr>
          <w:rFonts w:asciiTheme="minorHAnsi" w:hAnsiTheme="minorHAnsi"/>
          <w:i/>
          <w:sz w:val="28"/>
          <w:szCs w:val="28"/>
        </w:rPr>
        <w:t xml:space="preserve"> </w:t>
      </w:r>
      <w:r w:rsidRPr="003C4B56">
        <w:rPr>
          <w:rFonts w:asciiTheme="minorHAnsi" w:hAnsiTheme="minorHAnsi"/>
          <w:i/>
          <w:sz w:val="28"/>
          <w:szCs w:val="28"/>
          <w:lang w:val="en-US"/>
        </w:rPr>
        <w:t>S</w:t>
      </w:r>
      <w:r w:rsidRPr="003C4B56">
        <w:rPr>
          <w:rFonts w:asciiTheme="minorHAnsi" w:hAnsiTheme="minorHAnsi"/>
          <w:i/>
          <w:sz w:val="28"/>
          <w:szCs w:val="28"/>
        </w:rPr>
        <w:t xml:space="preserve"> κα κατά </w:t>
      </w:r>
      <w:r w:rsidRPr="003C4B56">
        <w:rPr>
          <w:rFonts w:asciiTheme="minorHAnsi" w:hAnsiTheme="minorHAnsi"/>
          <w:i/>
          <w:sz w:val="28"/>
          <w:szCs w:val="28"/>
          <w:lang w:val="en-US"/>
        </w:rPr>
        <w:t>Secretary</w:t>
      </w:r>
      <w:r w:rsidRPr="003C4B56">
        <w:rPr>
          <w:rFonts w:asciiTheme="minorHAnsi" w:hAnsiTheme="minorHAnsi"/>
          <w:i/>
          <w:sz w:val="28"/>
          <w:szCs w:val="28"/>
        </w:rPr>
        <w:t xml:space="preserve"> </w:t>
      </w:r>
      <w:r w:rsidRPr="003C4B56">
        <w:rPr>
          <w:rFonts w:asciiTheme="minorHAnsi" w:hAnsiTheme="minorHAnsi"/>
          <w:i/>
          <w:sz w:val="28"/>
          <w:szCs w:val="28"/>
          <w:lang w:val="en-US"/>
        </w:rPr>
        <w:t>of</w:t>
      </w:r>
      <w:r w:rsidRPr="003C4B56">
        <w:rPr>
          <w:rFonts w:asciiTheme="minorHAnsi" w:hAnsiTheme="minorHAnsi"/>
          <w:i/>
          <w:sz w:val="28"/>
          <w:szCs w:val="28"/>
        </w:rPr>
        <w:t xml:space="preserve"> </w:t>
      </w:r>
      <w:r w:rsidRPr="003C4B56">
        <w:rPr>
          <w:rFonts w:asciiTheme="minorHAnsi" w:hAnsiTheme="minorHAnsi"/>
          <w:i/>
          <w:sz w:val="28"/>
          <w:szCs w:val="28"/>
          <w:lang w:val="en-US"/>
        </w:rPr>
        <w:t>State</w:t>
      </w:r>
      <w:r w:rsidRPr="003C4B56">
        <w:rPr>
          <w:rFonts w:asciiTheme="minorHAnsi" w:hAnsiTheme="minorHAnsi"/>
          <w:i/>
          <w:sz w:val="28"/>
          <w:szCs w:val="28"/>
        </w:rPr>
        <w:t xml:space="preserve"> </w:t>
      </w:r>
      <w:r w:rsidRPr="003C4B56">
        <w:rPr>
          <w:rFonts w:asciiTheme="minorHAnsi" w:hAnsiTheme="minorHAnsi"/>
          <w:i/>
          <w:sz w:val="28"/>
          <w:szCs w:val="28"/>
          <w:lang w:val="en-US"/>
        </w:rPr>
        <w:t>for</w:t>
      </w:r>
      <w:r w:rsidRPr="003C4B56">
        <w:rPr>
          <w:rFonts w:asciiTheme="minorHAnsi" w:hAnsiTheme="minorHAnsi"/>
          <w:i/>
          <w:sz w:val="28"/>
          <w:szCs w:val="28"/>
        </w:rPr>
        <w:t xml:space="preserve"> </w:t>
      </w:r>
      <w:r w:rsidRPr="003C4B56">
        <w:rPr>
          <w:rFonts w:asciiTheme="minorHAnsi" w:hAnsiTheme="minorHAnsi"/>
          <w:i/>
          <w:sz w:val="28"/>
          <w:szCs w:val="28"/>
          <w:lang w:val="en-US"/>
        </w:rPr>
        <w:t>the</w:t>
      </w:r>
      <w:r w:rsidRPr="003C4B56">
        <w:rPr>
          <w:rFonts w:asciiTheme="minorHAnsi" w:hAnsiTheme="minorHAnsi"/>
          <w:i/>
          <w:sz w:val="28"/>
          <w:szCs w:val="28"/>
        </w:rPr>
        <w:t xml:space="preserve"> </w:t>
      </w:r>
      <w:r w:rsidRPr="003C4B56">
        <w:rPr>
          <w:rFonts w:asciiTheme="minorHAnsi" w:hAnsiTheme="minorHAnsi"/>
          <w:i/>
          <w:sz w:val="28"/>
          <w:szCs w:val="28"/>
          <w:lang w:val="en-US"/>
        </w:rPr>
        <w:t>Home</w:t>
      </w:r>
      <w:r w:rsidRPr="003C4B56">
        <w:rPr>
          <w:rFonts w:asciiTheme="minorHAnsi" w:hAnsiTheme="minorHAnsi"/>
          <w:i/>
          <w:sz w:val="28"/>
          <w:szCs w:val="28"/>
        </w:rPr>
        <w:t xml:space="preserve"> </w:t>
      </w:r>
      <w:r w:rsidRPr="003C4B56">
        <w:rPr>
          <w:rFonts w:asciiTheme="minorHAnsi" w:hAnsiTheme="minorHAnsi"/>
          <w:i/>
          <w:sz w:val="28"/>
          <w:szCs w:val="28"/>
          <w:lang w:val="en-US"/>
        </w:rPr>
        <w:t>Department</w:t>
      </w:r>
      <w:r w:rsidRPr="003C4B56">
        <w:rPr>
          <w:rFonts w:asciiTheme="minorHAnsi" w:hAnsiTheme="minorHAnsi"/>
          <w:i/>
          <w:sz w:val="28"/>
          <w:szCs w:val="28"/>
        </w:rPr>
        <w:t xml:space="preserve"> </w:t>
      </w:r>
      <w:proofErr w:type="spellStart"/>
      <w:r w:rsidRPr="003C4B56">
        <w:rPr>
          <w:rFonts w:asciiTheme="minorHAnsi" w:hAnsiTheme="minorHAnsi"/>
          <w:i/>
          <w:sz w:val="28"/>
          <w:szCs w:val="28"/>
        </w:rPr>
        <w:t>κα</w:t>
      </w:r>
      <w:r w:rsidR="00131126">
        <w:rPr>
          <w:rFonts w:asciiTheme="minorHAnsi" w:hAnsiTheme="minorHAnsi"/>
          <w:sz w:val="28"/>
          <w:szCs w:val="28"/>
        </w:rPr>
        <w:t>,</w:t>
      </w:r>
      <w:r w:rsidRPr="003C4B56">
        <w:rPr>
          <w:rFonts w:asciiTheme="minorHAnsi" w:hAnsiTheme="minorHAnsi"/>
          <w:sz w:val="28"/>
          <w:szCs w:val="28"/>
        </w:rPr>
        <w:t>˙</w:t>
      </w:r>
      <w:proofErr w:type="spellEnd"/>
      <w:r w:rsidRPr="003C4B56">
        <w:rPr>
          <w:rFonts w:asciiTheme="minorHAnsi" w:hAnsiTheme="minorHAnsi"/>
          <w:sz w:val="28"/>
          <w:szCs w:val="28"/>
        </w:rPr>
        <w:t xml:space="preserve"> ΔΕΕ, υπόθεση C-4/11, </w:t>
      </w:r>
      <w:proofErr w:type="spellStart"/>
      <w:r w:rsidRPr="003C4B56">
        <w:rPr>
          <w:rFonts w:asciiTheme="minorHAnsi" w:hAnsiTheme="minorHAnsi"/>
          <w:i/>
          <w:sz w:val="28"/>
          <w:szCs w:val="28"/>
        </w:rPr>
        <w:t>Kaveh</w:t>
      </w:r>
      <w:proofErr w:type="spellEnd"/>
      <w:r w:rsidRPr="003C4B56">
        <w:rPr>
          <w:rFonts w:asciiTheme="minorHAnsi" w:hAnsiTheme="minorHAnsi"/>
          <w:i/>
          <w:sz w:val="28"/>
          <w:szCs w:val="28"/>
        </w:rPr>
        <w:t xml:space="preserve"> </w:t>
      </w:r>
      <w:proofErr w:type="spellStart"/>
      <w:r w:rsidRPr="003C4B56">
        <w:rPr>
          <w:rFonts w:asciiTheme="minorHAnsi" w:hAnsiTheme="minorHAnsi"/>
          <w:i/>
          <w:sz w:val="28"/>
          <w:szCs w:val="28"/>
        </w:rPr>
        <w:t>Puid</w:t>
      </w:r>
      <w:proofErr w:type="spellEnd"/>
      <w:r w:rsidR="00131126" w:rsidRPr="00131126">
        <w:rPr>
          <w:rFonts w:asciiTheme="minorHAnsi" w:hAnsiTheme="minorHAnsi"/>
          <w:i/>
          <w:sz w:val="28"/>
          <w:szCs w:val="28"/>
        </w:rPr>
        <w:t>)</w:t>
      </w:r>
      <w:r w:rsidRPr="003C4B56">
        <w:rPr>
          <w:rFonts w:asciiTheme="minorHAnsi" w:hAnsiTheme="minorHAnsi"/>
          <w:sz w:val="28"/>
          <w:szCs w:val="28"/>
          <w:shd w:val="clear" w:color="auto" w:fill="FFFFFF"/>
        </w:rPr>
        <w:t>,</w:t>
      </w:r>
    </w:p>
    <w:p w:rsidR="003C4B56" w:rsidRDefault="003C4B56" w:rsidP="003C4B56">
      <w:pPr>
        <w:shd w:val="clear" w:color="auto" w:fill="FFFFFF"/>
        <w:jc w:val="both"/>
        <w:rPr>
          <w:rFonts w:asciiTheme="minorHAnsi" w:hAnsiTheme="minorHAnsi"/>
          <w:i/>
          <w:sz w:val="28"/>
          <w:szCs w:val="28"/>
        </w:rPr>
      </w:pPr>
    </w:p>
    <w:p w:rsidR="00F8764C" w:rsidRPr="00131126" w:rsidRDefault="003C4B56" w:rsidP="00131126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Theme="minorHAnsi" w:hAnsiTheme="minorHAnsi"/>
          <w:sz w:val="28"/>
          <w:szCs w:val="28"/>
        </w:rPr>
      </w:pPr>
      <w:r w:rsidRPr="00131126">
        <w:rPr>
          <w:rFonts w:asciiTheme="minorHAnsi" w:hAnsiTheme="minorHAnsi"/>
          <w:b/>
          <w:i/>
          <w:sz w:val="28"/>
          <w:szCs w:val="28"/>
        </w:rPr>
        <w:t>Τ</w:t>
      </w:r>
      <w:r w:rsidR="00131126" w:rsidRPr="00131126">
        <w:rPr>
          <w:rFonts w:asciiTheme="minorHAnsi" w:hAnsiTheme="minorHAnsi"/>
          <w:b/>
          <w:i/>
          <w:sz w:val="28"/>
          <w:szCs w:val="28"/>
        </w:rPr>
        <w:t>ρίτον</w:t>
      </w:r>
      <w:r w:rsidRPr="00131126">
        <w:rPr>
          <w:rFonts w:asciiTheme="minorHAnsi" w:hAnsiTheme="minorHAnsi"/>
          <w:b/>
          <w:i/>
          <w:sz w:val="28"/>
          <w:szCs w:val="28"/>
        </w:rPr>
        <w:t>,</w:t>
      </w:r>
      <w:r w:rsidRPr="00131126">
        <w:rPr>
          <w:rFonts w:asciiTheme="minorHAnsi" w:hAnsiTheme="minorHAnsi"/>
          <w:b/>
          <w:sz w:val="28"/>
          <w:szCs w:val="28"/>
        </w:rPr>
        <w:t xml:space="preserve"> τα εθνικά μέτρα που συνδέονται με την εκταμίευση κονδυλίων της Ένωσης στο πλαίσιο επιμερισμένης διαχείρισης ενδέχεται να συνιστούν εφαρμογή του δικαίου της Ένωσης </w:t>
      </w:r>
      <w:r w:rsidRPr="00131126">
        <w:rPr>
          <w:rFonts w:asciiTheme="minorHAnsi" w:hAnsiTheme="minorHAnsi"/>
          <w:sz w:val="28"/>
          <w:szCs w:val="28"/>
        </w:rPr>
        <w:t xml:space="preserve">(ΔΕΕ, υπόθεση C-401/11, </w:t>
      </w:r>
      <w:proofErr w:type="spellStart"/>
      <w:r w:rsidRPr="00131126">
        <w:rPr>
          <w:rFonts w:asciiTheme="minorHAnsi" w:hAnsiTheme="minorHAnsi"/>
          <w:i/>
          <w:sz w:val="28"/>
          <w:szCs w:val="28"/>
        </w:rPr>
        <w:t>Blanka</w:t>
      </w:r>
      <w:proofErr w:type="spellEnd"/>
      <w:r w:rsidRPr="00131126">
        <w:rPr>
          <w:rFonts w:asciiTheme="minorHAnsi" w:hAnsiTheme="minorHAnsi"/>
          <w:i/>
          <w:sz w:val="28"/>
          <w:szCs w:val="28"/>
        </w:rPr>
        <w:t xml:space="preserve"> </w:t>
      </w:r>
      <w:proofErr w:type="spellStart"/>
      <w:r w:rsidRPr="00131126">
        <w:rPr>
          <w:rFonts w:asciiTheme="minorHAnsi" w:hAnsiTheme="minorHAnsi"/>
          <w:i/>
          <w:sz w:val="28"/>
          <w:szCs w:val="28"/>
        </w:rPr>
        <w:t>Soukupová</w:t>
      </w:r>
      <w:proofErr w:type="spellEnd"/>
      <w:r w:rsidR="00131126" w:rsidRPr="00131126">
        <w:rPr>
          <w:rFonts w:asciiTheme="minorHAnsi" w:hAnsiTheme="minorHAnsi"/>
          <w:i/>
          <w:sz w:val="28"/>
          <w:szCs w:val="28"/>
        </w:rPr>
        <w:t>)</w:t>
      </w:r>
    </w:p>
    <w:p w:rsidR="002E0967" w:rsidRDefault="002E0967">
      <w:pPr>
        <w:rPr>
          <w:rFonts w:asciiTheme="minorHAnsi" w:hAnsiTheme="minorHAnsi"/>
          <w:sz w:val="28"/>
          <w:szCs w:val="28"/>
        </w:rPr>
      </w:pPr>
    </w:p>
    <w:p w:rsidR="002E0967" w:rsidRPr="00131126" w:rsidRDefault="00131126" w:rsidP="002E0967">
      <w:pPr>
        <w:pStyle w:val="a3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131126">
        <w:rPr>
          <w:rFonts w:asciiTheme="minorHAnsi" w:hAnsiTheme="minorHAnsi"/>
          <w:b/>
          <w:i/>
          <w:sz w:val="28"/>
          <w:szCs w:val="28"/>
        </w:rPr>
        <w:t>Τέταρτον,</w:t>
      </w:r>
      <w:r>
        <w:rPr>
          <w:rFonts w:asciiTheme="minorHAnsi" w:hAnsiTheme="minorHAnsi"/>
          <w:b/>
          <w:sz w:val="28"/>
          <w:szCs w:val="28"/>
        </w:rPr>
        <w:t xml:space="preserve"> τις περιπτώσεις </w:t>
      </w:r>
      <w:r w:rsidR="002E0967" w:rsidRPr="002E0967">
        <w:rPr>
          <w:rFonts w:asciiTheme="minorHAnsi" w:hAnsiTheme="minorHAnsi"/>
          <w:b/>
          <w:sz w:val="28"/>
          <w:szCs w:val="28"/>
        </w:rPr>
        <w:t xml:space="preserve">που ένα Κράτος-μέλος  προβαίνει σε ενέργειες, νομοθετικές ή μη, σε έναν τομέα όπου υφίστανται διατάξεις </w:t>
      </w:r>
      <w:proofErr w:type="spellStart"/>
      <w:r w:rsidR="002E0967" w:rsidRPr="002E0967">
        <w:rPr>
          <w:rFonts w:asciiTheme="minorHAnsi" w:hAnsiTheme="minorHAnsi"/>
          <w:b/>
          <w:sz w:val="28"/>
          <w:szCs w:val="28"/>
        </w:rPr>
        <w:t>ενωσιακού</w:t>
      </w:r>
      <w:proofErr w:type="spellEnd"/>
      <w:r w:rsidR="002E0967" w:rsidRPr="002E0967">
        <w:rPr>
          <w:rFonts w:asciiTheme="minorHAnsi" w:hAnsiTheme="minorHAnsi"/>
          <w:b/>
          <w:sz w:val="28"/>
          <w:szCs w:val="28"/>
        </w:rPr>
        <w:t xml:space="preserve"> δικαίου (</w:t>
      </w:r>
      <w:r>
        <w:rPr>
          <w:rFonts w:asciiTheme="minorHAnsi" w:hAnsiTheme="minorHAnsi"/>
          <w:b/>
          <w:sz w:val="28"/>
          <w:szCs w:val="28"/>
        </w:rPr>
        <w:t xml:space="preserve">τομέα </w:t>
      </w:r>
      <w:r w:rsidR="002E0967" w:rsidRPr="002E0967">
        <w:rPr>
          <w:rFonts w:asciiTheme="minorHAnsi" w:hAnsiTheme="minorHAnsi"/>
          <w:b/>
          <w:sz w:val="28"/>
          <w:szCs w:val="28"/>
        </w:rPr>
        <w:t xml:space="preserve">που ρυθμίζεται δηλαδή ήδη σε επαρκή βαθμό από το </w:t>
      </w:r>
      <w:proofErr w:type="spellStart"/>
      <w:r w:rsidR="002E0967" w:rsidRPr="002E0967">
        <w:rPr>
          <w:rFonts w:asciiTheme="minorHAnsi" w:hAnsiTheme="minorHAnsi"/>
          <w:b/>
          <w:sz w:val="28"/>
          <w:szCs w:val="28"/>
        </w:rPr>
        <w:t>ενωσιακό</w:t>
      </w:r>
      <w:proofErr w:type="spellEnd"/>
      <w:r w:rsidR="002E0967" w:rsidRPr="002E0967">
        <w:rPr>
          <w:rFonts w:asciiTheme="minorHAnsi" w:hAnsiTheme="minorHAnsi"/>
          <w:b/>
          <w:sz w:val="28"/>
          <w:szCs w:val="28"/>
        </w:rPr>
        <w:t xml:space="preserve"> δίκαιο), επιβάλλοντας υποχρεώσεις στα Κράτη-μέλη, δίχως να τις επικαλείται ή να αποσκοπεί στην εκτέλεσή τους, </w:t>
      </w:r>
      <w:r w:rsidR="002E0967" w:rsidRPr="00131126">
        <w:rPr>
          <w:rFonts w:asciiTheme="minorHAnsi" w:hAnsiTheme="minorHAnsi"/>
          <w:sz w:val="28"/>
          <w:szCs w:val="28"/>
        </w:rPr>
        <w:t>(</w:t>
      </w:r>
      <w:r w:rsidRPr="00131126">
        <w:rPr>
          <w:rFonts w:asciiTheme="minorHAnsi" w:hAnsiTheme="minorHAnsi"/>
          <w:sz w:val="28"/>
          <w:szCs w:val="28"/>
        </w:rPr>
        <w:t xml:space="preserve">ΔΕΕ, </w:t>
      </w:r>
      <w:r w:rsidRPr="00131126">
        <w:rPr>
          <w:rFonts w:asciiTheme="minorHAnsi" w:hAnsiTheme="minorHAnsi"/>
          <w:sz w:val="28"/>
          <w:szCs w:val="28"/>
          <w:lang w:val="en-US"/>
        </w:rPr>
        <w:t>C</w:t>
      </w:r>
      <w:r w:rsidRPr="00131126">
        <w:rPr>
          <w:rFonts w:asciiTheme="minorHAnsi" w:hAnsiTheme="minorHAnsi"/>
          <w:sz w:val="28"/>
          <w:szCs w:val="28"/>
        </w:rPr>
        <w:t xml:space="preserve">-617/10, </w:t>
      </w:r>
      <w:proofErr w:type="spellStart"/>
      <w:r w:rsidRPr="00131126">
        <w:rPr>
          <w:rFonts w:asciiTheme="minorHAnsi" w:hAnsiTheme="minorHAnsi"/>
          <w:sz w:val="28"/>
          <w:szCs w:val="28"/>
          <w:lang w:val="en-US"/>
        </w:rPr>
        <w:t>Akerberk</w:t>
      </w:r>
      <w:proofErr w:type="spellEnd"/>
      <w:r w:rsidRPr="00131126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2E0967" w:rsidRPr="00131126">
        <w:rPr>
          <w:rFonts w:asciiTheme="minorHAnsi" w:hAnsiTheme="minorHAnsi"/>
          <w:sz w:val="28"/>
          <w:szCs w:val="28"/>
          <w:lang w:val="en-US"/>
        </w:rPr>
        <w:t>Fransson</w:t>
      </w:r>
      <w:proofErr w:type="spellEnd"/>
      <w:r w:rsidR="002E0967" w:rsidRPr="00131126">
        <w:rPr>
          <w:rFonts w:asciiTheme="minorHAnsi" w:hAnsiTheme="minorHAnsi"/>
          <w:sz w:val="28"/>
          <w:szCs w:val="28"/>
        </w:rPr>
        <w:t>)</w:t>
      </w:r>
    </w:p>
    <w:sectPr w:rsidR="002E0967" w:rsidRPr="00131126" w:rsidSect="00F8764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56348"/>
    <w:multiLevelType w:val="hybridMultilevel"/>
    <w:tmpl w:val="F5A424C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C4B56"/>
    <w:rsid w:val="00112739"/>
    <w:rsid w:val="00131126"/>
    <w:rsid w:val="002E0967"/>
    <w:rsid w:val="003C4B56"/>
    <w:rsid w:val="003E5E07"/>
    <w:rsid w:val="00997B03"/>
    <w:rsid w:val="00A238C1"/>
    <w:rsid w:val="00F87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B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2020-04-07T05:43:00Z</dcterms:created>
  <dcterms:modified xsi:type="dcterms:W3CDTF">2020-04-07T18:25:00Z</dcterms:modified>
</cp:coreProperties>
</file>