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23" w:rsidRPr="00465E32" w:rsidRDefault="00941523" w:rsidP="00941523">
      <w:pPr>
        <w:spacing w:before="79" w:after="79" w:line="240" w:lineRule="auto"/>
        <w:ind w:left="119" w:right="277"/>
        <w:jc w:val="center"/>
        <w:rPr>
          <w:rFonts w:eastAsia="Times New Roman" w:cs="Tahoma"/>
          <w:b/>
          <w:iCs/>
          <w:color w:val="333333"/>
          <w:sz w:val="24"/>
          <w:szCs w:val="24"/>
          <w:shd w:val="clear" w:color="auto" w:fill="FFFFFF"/>
          <w:lang w:eastAsia="el-GR"/>
        </w:rPr>
      </w:pPr>
      <w:r w:rsidRPr="00465E32">
        <w:rPr>
          <w:rFonts w:eastAsia="Times New Roman" w:cs="Tahoma"/>
          <w:b/>
          <w:iCs/>
          <w:color w:val="333333"/>
          <w:sz w:val="24"/>
          <w:szCs w:val="24"/>
          <w:shd w:val="clear" w:color="auto" w:fill="FFFFFF"/>
          <w:lang w:eastAsia="el-GR"/>
        </w:rPr>
        <w:t>ΕΥΡΩΠΑΙΚΗ ΙΘΑΓΕΝΕΙΑ</w:t>
      </w:r>
      <w:r w:rsidRPr="00941523">
        <w:rPr>
          <w:rFonts w:eastAsia="Times New Roman" w:cs="Tahoma"/>
          <w:b/>
          <w:iCs/>
          <w:color w:val="333333"/>
          <w:sz w:val="24"/>
          <w:szCs w:val="24"/>
          <w:shd w:val="clear" w:color="auto" w:fill="FFFFFF"/>
          <w:lang w:eastAsia="el-GR"/>
        </w:rPr>
        <w:t xml:space="preserve">: </w:t>
      </w:r>
      <w:r w:rsidRPr="00465E32">
        <w:rPr>
          <w:rFonts w:eastAsia="Times New Roman" w:cs="Tahoma"/>
          <w:b/>
          <w:iCs/>
          <w:color w:val="333333"/>
          <w:sz w:val="24"/>
          <w:szCs w:val="24"/>
          <w:shd w:val="clear" w:color="auto" w:fill="FFFFFF"/>
          <w:lang w:eastAsia="el-GR"/>
        </w:rPr>
        <w:t>ΝΟΜΟΛΟΓΙΑ</w:t>
      </w:r>
    </w:p>
    <w:p w:rsidR="00941523" w:rsidRDefault="00941523" w:rsidP="00941523">
      <w:pPr>
        <w:spacing w:before="79" w:after="79" w:line="240" w:lineRule="auto"/>
        <w:ind w:left="119" w:right="277"/>
        <w:jc w:val="center"/>
        <w:rPr>
          <w:rFonts w:eastAsia="Times New Roman" w:cs="Tahoma"/>
          <w:b/>
          <w:i/>
          <w:iCs/>
          <w:color w:val="333333"/>
          <w:sz w:val="24"/>
          <w:szCs w:val="24"/>
          <w:shd w:val="clear" w:color="auto" w:fill="FFFFFF"/>
          <w:lang w:eastAsia="el-GR"/>
        </w:rPr>
      </w:pPr>
    </w:p>
    <w:p w:rsidR="007E4791" w:rsidRDefault="007E4791" w:rsidP="00941523">
      <w:pPr>
        <w:spacing w:before="79" w:after="79" w:line="240" w:lineRule="auto"/>
        <w:ind w:left="119" w:right="277"/>
        <w:jc w:val="center"/>
        <w:rPr>
          <w:rFonts w:eastAsia="Times New Roman" w:cs="Tahoma"/>
          <w:b/>
          <w:i/>
          <w:iCs/>
          <w:color w:val="333333"/>
          <w:sz w:val="24"/>
          <w:szCs w:val="24"/>
          <w:shd w:val="clear" w:color="auto" w:fill="FFFFFF"/>
          <w:lang w:eastAsia="el-GR"/>
        </w:rPr>
      </w:pPr>
    </w:p>
    <w:p w:rsidR="007E4791" w:rsidRPr="007E4791" w:rsidRDefault="007E4791" w:rsidP="007E4791">
      <w:pPr>
        <w:spacing w:before="79" w:after="79" w:line="240" w:lineRule="auto"/>
        <w:ind w:left="119" w:right="277"/>
        <w:jc w:val="center"/>
        <w:rPr>
          <w:rStyle w:val="a3"/>
          <w:rFonts w:cs="Tahoma"/>
          <w:i/>
          <w:color w:val="444444"/>
          <w:sz w:val="24"/>
          <w:szCs w:val="24"/>
          <w:shd w:val="clear" w:color="auto" w:fill="FFFFFF"/>
        </w:rPr>
      </w:pPr>
      <w:r w:rsidRPr="007E4791">
        <w:rPr>
          <w:rStyle w:val="a3"/>
          <w:rFonts w:cs="Tahoma"/>
          <w:i/>
          <w:color w:val="444444"/>
          <w:sz w:val="24"/>
          <w:szCs w:val="24"/>
          <w:shd w:val="clear" w:color="auto" w:fill="FFFFFF"/>
        </w:rPr>
        <w:t xml:space="preserve">Υπόθεση C-224/98, </w:t>
      </w:r>
      <w:proofErr w:type="spellStart"/>
      <w:r w:rsidRPr="007E4791">
        <w:rPr>
          <w:rStyle w:val="a3"/>
          <w:rFonts w:cs="Tahoma"/>
          <w:i/>
          <w:color w:val="444444"/>
          <w:sz w:val="24"/>
          <w:szCs w:val="24"/>
          <w:shd w:val="clear" w:color="auto" w:fill="FFFFFF"/>
        </w:rPr>
        <w:t>D'Hoop</w:t>
      </w:r>
      <w:proofErr w:type="spellEnd"/>
    </w:p>
    <w:p w:rsidR="007E4791" w:rsidRPr="00465E32" w:rsidRDefault="007E4791" w:rsidP="00941523">
      <w:pPr>
        <w:spacing w:before="79" w:after="79" w:line="240" w:lineRule="auto"/>
        <w:ind w:left="119" w:right="277"/>
        <w:jc w:val="center"/>
        <w:rPr>
          <w:rFonts w:eastAsia="Times New Roman" w:cs="Tahoma"/>
          <w:b/>
          <w:i/>
          <w:iCs/>
          <w:color w:val="333333"/>
          <w:sz w:val="24"/>
          <w:szCs w:val="24"/>
          <w:shd w:val="clear" w:color="auto" w:fill="FFFFFF"/>
          <w:lang w:eastAsia="el-GR"/>
        </w:rPr>
      </w:pPr>
    </w:p>
    <w:p w:rsidR="00941523" w:rsidRDefault="00941523" w:rsidP="00941523">
      <w:pPr>
        <w:spacing w:before="79" w:after="79" w:line="240" w:lineRule="auto"/>
        <w:ind w:left="119" w:right="277"/>
        <w:jc w:val="both"/>
        <w:rPr>
          <w:rStyle w:val="a3"/>
          <w:rFonts w:cs="Tahoma"/>
          <w:color w:val="444444"/>
          <w:sz w:val="24"/>
          <w:szCs w:val="24"/>
          <w:shd w:val="clear" w:color="auto" w:fill="FFFFFF"/>
        </w:rPr>
      </w:pPr>
      <w:r w:rsidRPr="007C6285">
        <w:rPr>
          <w:rStyle w:val="a3"/>
          <w:rFonts w:cs="Tahoma"/>
          <w:color w:val="444444"/>
          <w:sz w:val="24"/>
          <w:szCs w:val="24"/>
          <w:shd w:val="clear" w:color="auto" w:fill="FFFFFF"/>
        </w:rPr>
        <w:t xml:space="preserve">Απόφαση του Δικαστηρίου της 11ης Ιουλίου 2002. - </w:t>
      </w:r>
      <w:proofErr w:type="spellStart"/>
      <w:r w:rsidRPr="007C6285">
        <w:rPr>
          <w:rStyle w:val="a3"/>
          <w:rFonts w:cs="Tahoma"/>
          <w:color w:val="444444"/>
          <w:sz w:val="24"/>
          <w:szCs w:val="24"/>
          <w:shd w:val="clear" w:color="auto" w:fill="FFFFFF"/>
        </w:rPr>
        <w:t>Marie</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Nathalie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D'Hoop</w:t>
      </w:r>
      <w:proofErr w:type="spellEnd"/>
      <w:r w:rsidRPr="007C6285">
        <w:rPr>
          <w:rStyle w:val="a3"/>
          <w:rFonts w:cs="Tahoma"/>
          <w:color w:val="444444"/>
          <w:sz w:val="24"/>
          <w:szCs w:val="24"/>
          <w:shd w:val="clear" w:color="auto" w:fill="FFFFFF"/>
        </w:rPr>
        <w:t xml:space="preserve"> κατά Office </w:t>
      </w:r>
      <w:proofErr w:type="spellStart"/>
      <w:r w:rsidRPr="007C6285">
        <w:rPr>
          <w:rStyle w:val="a3"/>
          <w:rFonts w:cs="Tahoma"/>
          <w:color w:val="444444"/>
          <w:sz w:val="24"/>
          <w:szCs w:val="24"/>
          <w:shd w:val="clear" w:color="auto" w:fill="FFFFFF"/>
        </w:rPr>
        <w:t>national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l'emploi</w:t>
      </w:r>
      <w:proofErr w:type="spellEnd"/>
      <w:r w:rsidRPr="007C6285">
        <w:rPr>
          <w:rStyle w:val="a3"/>
          <w:rFonts w:cs="Tahoma"/>
          <w:color w:val="444444"/>
          <w:sz w:val="24"/>
          <w:szCs w:val="24"/>
          <w:shd w:val="clear" w:color="auto" w:fill="FFFFFF"/>
        </w:rPr>
        <w:t xml:space="preserve">. - Αίτηση για την έκδοση προδικαστικής αποφάσεως: </w:t>
      </w:r>
      <w:proofErr w:type="spellStart"/>
      <w:r w:rsidRPr="007C6285">
        <w:rPr>
          <w:rStyle w:val="a3"/>
          <w:rFonts w:cs="Tahoma"/>
          <w:color w:val="444444"/>
          <w:sz w:val="24"/>
          <w:szCs w:val="24"/>
          <w:shd w:val="clear" w:color="auto" w:fill="FFFFFF"/>
        </w:rPr>
        <w:t>Tribunal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du</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travail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Liège</w:t>
      </w:r>
      <w:proofErr w:type="spellEnd"/>
      <w:r w:rsidRPr="007C6285">
        <w:rPr>
          <w:rStyle w:val="a3"/>
          <w:rFonts w:cs="Tahoma"/>
          <w:color w:val="444444"/>
          <w:sz w:val="24"/>
          <w:szCs w:val="24"/>
          <w:shd w:val="clear" w:color="auto" w:fill="FFFFFF"/>
        </w:rPr>
        <w:t xml:space="preserve"> - Βέλγιο. - Ιθαγένεια της Ενώσεως - Αρχή της απαγορεύσεως των διακρίσεων - Εθνική κανονιστική ρύθμιση παρέχουσα δικαίωμα λήψεως επιδομάτων αναμονής στους ημεδαπούς μόνον υπό την προϋπόθεση ότι έχουν ολοκληρώσει τη δευτεροβάθμια εκπαίδευσή τους σε εκπαιδευτικό ίδρυμα του δικού τους κράτους μέλους - Ημεδαπός που αναζητεί για πρώτη φορά απασχόληση αφού ολοκλήρωσε τη δευτεροβάθμια εκπαίδευσή του σε εκπαιδευτικό ίδρυμα άλλου κράτους μέλους. - Υπόθεση C-224/98.</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1. Ιθαγένεια της Ευρωπαϊκής Ενώσεως - Διατάξεις της Συνθήκης - </w:t>
      </w:r>
      <w:proofErr w:type="spellStart"/>
      <w:r w:rsidRPr="007C6285">
        <w:rPr>
          <w:rFonts w:eastAsia="Times New Roman" w:cs="Tahoma"/>
          <w:i/>
          <w:iCs/>
          <w:color w:val="333333"/>
          <w:sz w:val="24"/>
          <w:szCs w:val="24"/>
          <w:shd w:val="clear" w:color="auto" w:fill="FFFFFF"/>
          <w:lang w:eastAsia="el-GR"/>
        </w:rPr>
        <w:t>ροσωπικό</w:t>
      </w:r>
      <w:proofErr w:type="spellEnd"/>
      <w:r w:rsidRPr="007C6285">
        <w:rPr>
          <w:rFonts w:eastAsia="Times New Roman" w:cs="Tahoma"/>
          <w:i/>
          <w:iCs/>
          <w:color w:val="333333"/>
          <w:sz w:val="24"/>
          <w:szCs w:val="24"/>
          <w:shd w:val="clear" w:color="auto" w:fill="FFFFFF"/>
          <w:lang w:eastAsia="el-GR"/>
        </w:rPr>
        <w:t xml:space="preserve"> πεδίο εφαρμογής - Υπήκοος κράτους μέλους που διαμένει νομίμως εντός του εδάφους άλλου κράτους μέλους - Εμπίπτει - Αποτέλεσμα - Απολαύει των δικαιωμάτων που συναρτώνται προς την ιδιότητα του πολίτη της Ευρωπαϊκής Ενώσεως - Εφαρμογή εκ μέρους κράτους μέλους, ως προς </w:t>
      </w:r>
      <w:proofErr w:type="spellStart"/>
      <w:r w:rsidRPr="007C6285">
        <w:rPr>
          <w:rFonts w:eastAsia="Times New Roman" w:cs="Tahoma"/>
          <w:i/>
          <w:iCs/>
          <w:color w:val="333333"/>
          <w:sz w:val="24"/>
          <w:szCs w:val="24"/>
          <w:shd w:val="clear" w:color="auto" w:fill="FFFFFF"/>
          <w:lang w:eastAsia="el-GR"/>
        </w:rPr>
        <w:t>ασκήσαντα</w:t>
      </w:r>
      <w:proofErr w:type="spellEnd"/>
      <w:r w:rsidRPr="007C6285">
        <w:rPr>
          <w:rFonts w:eastAsia="Times New Roman" w:cs="Tahoma"/>
          <w:i/>
          <w:iCs/>
          <w:color w:val="333333"/>
          <w:sz w:val="24"/>
          <w:szCs w:val="24"/>
          <w:shd w:val="clear" w:color="auto" w:fill="FFFFFF"/>
          <w:lang w:eastAsia="el-GR"/>
        </w:rPr>
        <w:t xml:space="preserve"> το δικαίωμα ελεύθερης κυκλοφορίας υπήκοό του, λιγότερο ευνοϊκής μεταχειρίσεως απ' </w:t>
      </w:r>
      <w:proofErr w:type="spellStart"/>
      <w:r w:rsidRPr="007C6285">
        <w:rPr>
          <w:rFonts w:eastAsia="Times New Roman" w:cs="Tahoma"/>
          <w:i/>
          <w:iCs/>
          <w:color w:val="333333"/>
          <w:sz w:val="24"/>
          <w:szCs w:val="24"/>
          <w:shd w:val="clear" w:color="auto" w:fill="FFFFFF"/>
          <w:lang w:eastAsia="el-GR"/>
        </w:rPr>
        <w:t>ό,τι</w:t>
      </w:r>
      <w:proofErr w:type="spellEnd"/>
      <w:r w:rsidRPr="007C6285">
        <w:rPr>
          <w:rFonts w:eastAsia="Times New Roman" w:cs="Tahoma"/>
          <w:i/>
          <w:iCs/>
          <w:color w:val="333333"/>
          <w:sz w:val="24"/>
          <w:szCs w:val="24"/>
          <w:shd w:val="clear" w:color="auto" w:fill="FFFFFF"/>
          <w:lang w:eastAsia="el-GR"/>
        </w:rPr>
        <w:t xml:space="preserve"> σε περίπτωση μη ασκήσεως του δικαιώματος αυτού - Δεν επιτρέπεται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άρθρα 6, 8 και 8 Α (νυν, κατόπιν τροποποιήσεως, άρθρα 12 ΕΚ, 17 ΕΚ και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2. Ιθαγένεια της Ευρωπαϊκής Ενώσεως - Δικαίωμα ελεύθερης κυκλοφορίας και ελεύθερης διαμονής στο έδαφος των κρατών μελών - Επιδόματα αναμονής προς όφελος νέων που αναζητούν για πρώτη φορά εργασία - Χορήγηση υπό την προϋπόθεση της ολοκληρώσεως της δευτεροβάθμιας εκπαιδεύσεως σε εκπαιδευτικό ίδρυμα του οικείου κράτους μέλους - Άρνηση χορηγήσεως σε υπήκοο του κράτους μέλους αυτού για τον λόγο και μόνον ότι ολοκλήρωσε τη δευτεροβάθμια εκπαίδευσή του σε άλλο κράτος μέλος - Δεν επιτρέπεται - Δικαιολογητικός λόγος - Δεν υφίσταται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άρθρο 8 Α (νυν, κατόπιν τροποποιήσεως, άρθρο 18 ΕΚ)]</w:t>
      </w:r>
    </w:p>
    <w:p w:rsidR="00941523" w:rsidRPr="007C6285" w:rsidRDefault="00941523" w:rsidP="00941523">
      <w:pPr>
        <w:shd w:val="clear" w:color="auto" w:fill="FFFFFF"/>
        <w:spacing w:before="237" w:after="79" w:line="240" w:lineRule="auto"/>
        <w:jc w:val="both"/>
        <w:outlineLvl w:val="1"/>
        <w:rPr>
          <w:rFonts w:eastAsia="Times New Roman" w:cs="Tahoma"/>
          <w:color w:val="097EAA"/>
          <w:sz w:val="24"/>
          <w:szCs w:val="24"/>
          <w:lang w:eastAsia="el-GR"/>
        </w:rPr>
      </w:pPr>
      <w:bookmarkStart w:id="0" w:name="SM"/>
      <w:bookmarkEnd w:id="0"/>
      <w:r w:rsidRPr="007C6285">
        <w:rPr>
          <w:rFonts w:eastAsia="Times New Roman" w:cs="Tahoma"/>
          <w:color w:val="097EAA"/>
          <w:sz w:val="24"/>
          <w:szCs w:val="24"/>
          <w:lang w:eastAsia="el-GR"/>
        </w:rPr>
        <w:t>Περίληψη</w:t>
      </w:r>
    </w:p>
    <w:p w:rsidR="00941523" w:rsidRPr="007C6285" w:rsidRDefault="00941523" w:rsidP="00941523">
      <w:pPr>
        <w:spacing w:after="0" w:line="240" w:lineRule="auto"/>
        <w:jc w:val="both"/>
        <w:rPr>
          <w:rFonts w:eastAsia="Times New Roman" w:cs="Times New Roman"/>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imes New Roman"/>
          <w:sz w:val="24"/>
          <w:szCs w:val="24"/>
          <w:lang w:eastAsia="el-GR"/>
        </w:rPr>
      </w:pPr>
      <w:r w:rsidRPr="007C6285">
        <w:rPr>
          <w:rFonts w:eastAsia="Times New Roman" w:cs="Tahoma"/>
          <w:i/>
          <w:iCs/>
          <w:color w:val="333333"/>
          <w:sz w:val="24"/>
          <w:szCs w:val="24"/>
          <w:shd w:val="clear" w:color="auto" w:fill="FFFFFF"/>
          <w:lang w:eastAsia="el-GR"/>
        </w:rPr>
        <w:t xml:space="preserve">1. Η ιδιότητα του πολίτη της Ενώσεως τείνει να αποτελέσει τη θεμελιώδη ιδιότητα των υπηκόων των κρατών μελών, η οποία εξασφαλίζει, εντός του </w:t>
      </w:r>
      <w:proofErr w:type="spellStart"/>
      <w:r w:rsidRPr="007C6285">
        <w:rPr>
          <w:rFonts w:eastAsia="Times New Roman" w:cs="Tahoma"/>
          <w:i/>
          <w:iCs/>
          <w:color w:val="333333"/>
          <w:sz w:val="24"/>
          <w:szCs w:val="24"/>
          <w:shd w:val="clear" w:color="auto" w:fill="FFFFFF"/>
          <w:lang w:eastAsia="el-GR"/>
        </w:rPr>
        <w:t>rationae</w:t>
      </w:r>
      <w:proofErr w:type="spellEnd"/>
      <w:r w:rsidRPr="007C6285">
        <w:rPr>
          <w:rFonts w:eastAsia="Times New Roman" w:cs="Tahoma"/>
          <w:i/>
          <w:iCs/>
          <w:color w:val="333333"/>
          <w:sz w:val="24"/>
          <w:szCs w:val="24"/>
          <w:shd w:val="clear" w:color="auto" w:fill="FFFFFF"/>
          <w:lang w:eastAsia="el-GR"/>
        </w:rPr>
        <w:t xml:space="preserve"> </w:t>
      </w:r>
      <w:proofErr w:type="spellStart"/>
      <w:r w:rsidRPr="007C6285">
        <w:rPr>
          <w:rFonts w:eastAsia="Times New Roman" w:cs="Tahoma"/>
          <w:i/>
          <w:iCs/>
          <w:color w:val="333333"/>
          <w:sz w:val="24"/>
          <w:szCs w:val="24"/>
          <w:shd w:val="clear" w:color="auto" w:fill="FFFFFF"/>
          <w:lang w:eastAsia="el-GR"/>
        </w:rPr>
        <w:t>materiae</w:t>
      </w:r>
      <w:proofErr w:type="spellEnd"/>
      <w:r w:rsidRPr="007C6285">
        <w:rPr>
          <w:rFonts w:eastAsia="Times New Roman" w:cs="Tahoma"/>
          <w:i/>
          <w:iCs/>
          <w:color w:val="333333"/>
          <w:sz w:val="24"/>
          <w:szCs w:val="24"/>
          <w:shd w:val="clear" w:color="auto" w:fill="FFFFFF"/>
          <w:lang w:eastAsia="el-GR"/>
        </w:rPr>
        <w:t xml:space="preserve"> πεδίου εφαρμογής της Συνθήκης, την ίδια νομική μεταχείριση σε όσους εξ αυτών βρίσκονται στην ίδια κατάσταση, ανεξάρτητα από την ιθαγένειά τους και υπό την επιφύλαξη των ρητά προβλεπομένων εξαιρέσεων συναφώς. Μεταξύ των καταστάσεων που εμπίπτουν στο πεδίο εφαρμογής του </w:t>
      </w:r>
      <w:r w:rsidRPr="007C6285">
        <w:rPr>
          <w:rFonts w:eastAsia="Times New Roman" w:cs="Tahoma"/>
          <w:i/>
          <w:iCs/>
          <w:color w:val="333333"/>
          <w:sz w:val="24"/>
          <w:szCs w:val="24"/>
          <w:shd w:val="clear" w:color="auto" w:fill="FFFFFF"/>
          <w:lang w:eastAsia="el-GR"/>
        </w:rPr>
        <w:lastRenderedPageBreak/>
        <w:t>κοινοτικού δικαίου περιλαμβάνονται, ιδίως, αυτές που άπτονται της ασκήσεως των θεμελιωδών ελευθεριών που εγγυάται η Συνθήκη και της ασκήσεως της ελευθερίας κυκλοφορίας και διαμονής στο έδαφος των κρατών μελών, την οποία απονέμει το άρθρο 8 Α της Συνθήκης (νυν, κατόπιν τροποποιήσεως, άρθρο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Κατά το μέτρο που σε πολίτη της Ευρωπαϊκής Ενώσεως αναγνωρίζεται εντός όλων των κρατών μελών η ίδια νομική μεταχείριση με αυτήν της οποίας τυγχάνουν οι ευρισκόμενοι στην ίδια κατάσταση υπήκοοι αυτών των κρατών, θα ήταν ασυμβίβαστο με το δικαίωμα της ελεύθερης κυκλοφορίας να είναι δυνατόν να υποστεί ο πολίτης αυτός εντός του κράτους μέλους του οποίου είναι υπήκοος λιγότερο ευμενή μεταχείριση από αυτή της οποίας θα ετύγχανε αν δεν είχε κάνει χρήση των διευκολύνσεων που παρέχει η Συνθήκη στον τομέα της ελεύθερης κυκλοφορίας.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roofErr w:type="spellStart"/>
      <w:r w:rsidRPr="007C6285">
        <w:rPr>
          <w:rFonts w:eastAsia="Times New Roman" w:cs="Tahoma"/>
          <w:i/>
          <w:iCs/>
          <w:color w:val="333333"/>
          <w:sz w:val="24"/>
          <w:szCs w:val="24"/>
          <w:shd w:val="clear" w:color="auto" w:fill="FFFFFF"/>
          <w:lang w:eastAsia="el-GR"/>
        </w:rPr>
        <w:t>ράγματι</w:t>
      </w:r>
      <w:proofErr w:type="spellEnd"/>
      <w:r w:rsidRPr="007C6285">
        <w:rPr>
          <w:rFonts w:eastAsia="Times New Roman" w:cs="Tahoma"/>
          <w:i/>
          <w:iCs/>
          <w:color w:val="333333"/>
          <w:sz w:val="24"/>
          <w:szCs w:val="24"/>
          <w:shd w:val="clear" w:color="auto" w:fill="FFFFFF"/>
          <w:lang w:eastAsia="el-GR"/>
        </w:rPr>
        <w:t>, οι διευκολύνσεις αυτές δεν θα μπορούσαν να παράγουν πλήρως τα αποτελέσματά τους αν ο υπήκοος κράτους μέλους μπορούσε να αποτραπεί από τη χρήση τους λόγω κωλυμάτων τα οποία θέτει, κατά την επιστροφή του στη χώρα καταγωγής του, μια κανονιστική ρύθμιση η οποία τον αντιμετωπίζει δυσμενώς λόγω του ότι επωφελήθηκε των διευκολύνσεων αυτών.</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28-31 )</w:t>
      </w:r>
    </w:p>
    <w:p w:rsidR="00941523"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2. Το κοινοτικό δίκαιο απαγορεύει σε κράτος μέλος να αρνείται σε υπήκοό του, φοιτητή ο οποίος αναζητεί για πρώτη φορά απασχόληση, τη χορήγηση επιδομάτων αναμονής για τον λόγο και μόνον ότι ο φοιτητής αυτός ολοκλήρωσε τη δευτεροβάθμια εκπαίδευσή του σε άλλο κράτος μέλος.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roofErr w:type="spellStart"/>
      <w:r w:rsidRPr="007C6285">
        <w:rPr>
          <w:rFonts w:eastAsia="Times New Roman" w:cs="Tahoma"/>
          <w:i/>
          <w:iCs/>
          <w:color w:val="333333"/>
          <w:sz w:val="24"/>
          <w:szCs w:val="24"/>
          <w:shd w:val="clear" w:color="auto" w:fill="FFFFFF"/>
          <w:lang w:eastAsia="el-GR"/>
        </w:rPr>
        <w:t>ράγματι</w:t>
      </w:r>
      <w:proofErr w:type="spellEnd"/>
      <w:r w:rsidRPr="007C6285">
        <w:rPr>
          <w:rFonts w:eastAsia="Times New Roman" w:cs="Tahoma"/>
          <w:i/>
          <w:iCs/>
          <w:color w:val="333333"/>
          <w:sz w:val="24"/>
          <w:szCs w:val="24"/>
          <w:shd w:val="clear" w:color="auto" w:fill="FFFFFF"/>
          <w:lang w:eastAsia="el-GR"/>
        </w:rPr>
        <w:t>, η κανονιστική ρύθμιση κράτους μέλους που συνδέει τη χορήγηση των επιδομάτων αναμονής με την προϋπόθεση να έχουν λάβει τον απαιτούμενο τίτλο σπουδών στην επικράτειά του, θέτει σε δυσμενή θέση ορισμένους ημεδαπούς απλώς και μόνο διότι άσκησαν το δικαίωμά τους ελεύθερης κυκλοφορίας, προκειμένου να τύχουν εκπαιδεύσεως εντός άλλου κράτους μέλους.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Αυτή η άνιση μεταχείριση αντιβαίνει στις αρχές στις οποίες βασίζεται η ιδιότητα του πολίτη της Ενώσεως, δηλαδή στη διασφάλιση της ίδιας νομικής μεταχειρίσεως κατά την άσκηση του δικαιώματος ελεύθερης κυκλοφορίας.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Η επίμαχη προϋπόθεση θα μπορούσε να δικαιολογηθεί μόνον αν στηριζόταν σε αντικειμενικά στοιχεία, ανεξάρτητα της ιθαγενείας των ενδιαφερομένων και ανάλογα με σκοπό που επιδιώκεται </w:t>
      </w:r>
      <w:proofErr w:type="spellStart"/>
      <w:r w:rsidRPr="007C6285">
        <w:rPr>
          <w:rFonts w:eastAsia="Times New Roman" w:cs="Tahoma"/>
          <w:i/>
          <w:iCs/>
          <w:color w:val="333333"/>
          <w:sz w:val="24"/>
          <w:szCs w:val="24"/>
          <w:shd w:val="clear" w:color="auto" w:fill="FFFFFF"/>
          <w:lang w:eastAsia="el-GR"/>
        </w:rPr>
        <w:t>θεμιτώς</w:t>
      </w:r>
      <w:proofErr w:type="spellEnd"/>
      <w:r w:rsidRPr="007C6285">
        <w:rPr>
          <w:rFonts w:eastAsia="Times New Roman" w:cs="Tahoma"/>
          <w:i/>
          <w:iCs/>
          <w:color w:val="333333"/>
          <w:sz w:val="24"/>
          <w:szCs w:val="24"/>
          <w:shd w:val="clear" w:color="auto" w:fill="FFFFFF"/>
          <w:lang w:eastAsia="el-GR"/>
        </w:rPr>
        <w:t xml:space="preserve"> από το εθνικό δίκαιο. Συναφώς, μολονότι στο πλαίσιο των επιδομάτων αναμονής, τα οποία σκοπούν στη διευκόλυνση των νέων να μεταβούν από την εκπαίδευση στην αγορά εργασίας, είναι θεμιτό να επιθυμεί ο εθνικός νομοθέτης να βεβαιωθεί για την ύπαρξη αληθούς σχέσεως μεταξύ του αιτούντος τα εν λόγω επιδόματα και της οικείας γεωγραφικής αγοράς εργασίας, εντούτοις, μια μοναδική προϋπόθεση </w:t>
      </w:r>
      <w:proofErr w:type="spellStart"/>
      <w:r w:rsidRPr="007C6285">
        <w:rPr>
          <w:rFonts w:eastAsia="Times New Roman" w:cs="Tahoma"/>
          <w:i/>
          <w:iCs/>
          <w:color w:val="333333"/>
          <w:sz w:val="24"/>
          <w:szCs w:val="24"/>
          <w:shd w:val="clear" w:color="auto" w:fill="FFFFFF"/>
          <w:lang w:eastAsia="el-GR"/>
        </w:rPr>
        <w:t>αφορώσα</w:t>
      </w:r>
      <w:proofErr w:type="spellEnd"/>
      <w:r w:rsidRPr="007C6285">
        <w:rPr>
          <w:rFonts w:eastAsia="Times New Roman" w:cs="Tahoma"/>
          <w:i/>
          <w:iCs/>
          <w:color w:val="333333"/>
          <w:sz w:val="24"/>
          <w:szCs w:val="24"/>
          <w:shd w:val="clear" w:color="auto" w:fill="FFFFFF"/>
          <w:lang w:eastAsia="el-GR"/>
        </w:rPr>
        <w:t xml:space="preserve"> τον τόπο λήψεως του πιστοποιητικού ολοκληρώσεως της δευτεροβάθμιας εκπαιδεύσεως έχει υπερβολικά γενικό και αποκλειστικό χαρακτήρα και βαίνει πέραν του μέτρου που είναι αναγκαίο για την επίτευξη του σκοπού που επιδιώκεται.</w:t>
      </w:r>
    </w:p>
    <w:p w:rsidR="00941523"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lastRenderedPageBreak/>
        <w:t xml:space="preserve">( βλ. σκέψεις 34-36, 38-40 και </w:t>
      </w:r>
      <w:proofErr w:type="spellStart"/>
      <w:r w:rsidRPr="007C6285">
        <w:rPr>
          <w:rFonts w:eastAsia="Times New Roman" w:cs="Tahoma"/>
          <w:i/>
          <w:iCs/>
          <w:color w:val="333333"/>
          <w:sz w:val="24"/>
          <w:szCs w:val="24"/>
          <w:shd w:val="clear" w:color="auto" w:fill="FFFFFF"/>
          <w:lang w:eastAsia="el-GR"/>
        </w:rPr>
        <w:t>διατακτ</w:t>
      </w:r>
      <w:proofErr w:type="spellEnd"/>
      <w:r w:rsidRPr="007C6285">
        <w:rPr>
          <w:rFonts w:eastAsia="Times New Roman" w:cs="Tahoma"/>
          <w:i/>
          <w:iCs/>
          <w:color w:val="333333"/>
          <w:sz w:val="24"/>
          <w:szCs w:val="24"/>
          <w:shd w:val="clear" w:color="auto" w:fill="FFFFFF"/>
          <w:lang w:eastAsia="el-GR"/>
        </w:rPr>
        <w:t>. )</w:t>
      </w:r>
    </w:p>
    <w:p w:rsidR="00941523"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
    <w:p w:rsidR="00941523" w:rsidRPr="007E4791" w:rsidRDefault="007E4791" w:rsidP="007E4791">
      <w:pPr>
        <w:spacing w:before="79" w:after="79" w:line="240" w:lineRule="auto"/>
        <w:ind w:left="119" w:right="277"/>
        <w:jc w:val="center"/>
        <w:rPr>
          <w:rFonts w:eastAsia="Times New Roman" w:cs="Tahoma"/>
          <w:i/>
          <w:iCs/>
          <w:color w:val="333333"/>
          <w:sz w:val="24"/>
          <w:szCs w:val="24"/>
          <w:shd w:val="clear" w:color="auto" w:fill="FFFFFF"/>
          <w:lang w:eastAsia="el-GR"/>
        </w:rPr>
      </w:pPr>
      <w:r w:rsidRPr="007E4791">
        <w:rPr>
          <w:rStyle w:val="a3"/>
          <w:rFonts w:cs="Tahoma"/>
          <w:i/>
          <w:color w:val="444444"/>
          <w:sz w:val="24"/>
          <w:szCs w:val="24"/>
          <w:shd w:val="clear" w:color="auto" w:fill="FFFFFF"/>
        </w:rPr>
        <w:t xml:space="preserve">Υπόθεση C-184/99, </w:t>
      </w:r>
      <w:proofErr w:type="spellStart"/>
      <w:r w:rsidRPr="007E4791">
        <w:rPr>
          <w:rStyle w:val="a3"/>
          <w:rFonts w:cs="Tahoma"/>
          <w:i/>
          <w:color w:val="444444"/>
          <w:sz w:val="24"/>
          <w:szCs w:val="24"/>
          <w:shd w:val="clear" w:color="auto" w:fill="FFFFFF"/>
        </w:rPr>
        <w:t>Grzelczyk</w:t>
      </w:r>
      <w:proofErr w:type="spellEnd"/>
    </w:p>
    <w:p w:rsidR="00941523" w:rsidRDefault="00941523" w:rsidP="00941523">
      <w:pPr>
        <w:spacing w:before="79" w:after="79" w:line="240" w:lineRule="auto"/>
        <w:ind w:left="119" w:right="277"/>
        <w:rPr>
          <w:rFonts w:eastAsia="Times New Roman" w:cs="Tahoma"/>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Style w:val="a3"/>
          <w:rFonts w:cs="Tahoma"/>
          <w:color w:val="444444"/>
          <w:sz w:val="24"/>
          <w:szCs w:val="24"/>
          <w:shd w:val="clear" w:color="auto" w:fill="FFFFFF"/>
        </w:rPr>
        <w:t xml:space="preserve">Απόφαση του Δικαστηρίου της 20ης Σεπτεμβρίου 2001. - </w:t>
      </w:r>
      <w:proofErr w:type="spellStart"/>
      <w:r w:rsidRPr="007C6285">
        <w:rPr>
          <w:rStyle w:val="a3"/>
          <w:rFonts w:cs="Tahoma"/>
          <w:color w:val="444444"/>
          <w:sz w:val="24"/>
          <w:szCs w:val="24"/>
          <w:shd w:val="clear" w:color="auto" w:fill="FFFFFF"/>
        </w:rPr>
        <w:t>Rudy</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Grzelczyk</w:t>
      </w:r>
      <w:proofErr w:type="spellEnd"/>
      <w:r w:rsidRPr="007C6285">
        <w:rPr>
          <w:rStyle w:val="a3"/>
          <w:rFonts w:cs="Tahoma"/>
          <w:color w:val="444444"/>
          <w:sz w:val="24"/>
          <w:szCs w:val="24"/>
          <w:shd w:val="clear" w:color="auto" w:fill="FFFFFF"/>
        </w:rPr>
        <w:t xml:space="preserve"> κατά </w:t>
      </w:r>
      <w:proofErr w:type="spellStart"/>
      <w:r w:rsidRPr="007C6285">
        <w:rPr>
          <w:rStyle w:val="a3"/>
          <w:rFonts w:cs="Tahoma"/>
          <w:color w:val="444444"/>
          <w:sz w:val="24"/>
          <w:szCs w:val="24"/>
          <w:shd w:val="clear" w:color="auto" w:fill="FFFFFF"/>
        </w:rPr>
        <w:t>Centre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public</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d'aide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sociale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d'Ottignies</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Louvain</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la</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Neuve</w:t>
      </w:r>
      <w:proofErr w:type="spellEnd"/>
      <w:r w:rsidRPr="007C6285">
        <w:rPr>
          <w:rStyle w:val="a3"/>
          <w:rFonts w:cs="Tahoma"/>
          <w:color w:val="444444"/>
          <w:sz w:val="24"/>
          <w:szCs w:val="24"/>
          <w:shd w:val="clear" w:color="auto" w:fill="FFFFFF"/>
        </w:rPr>
        <w:t xml:space="preserve">. - Αίτηση για την έκδοση προδικαστικής αποφάσεως: </w:t>
      </w:r>
      <w:proofErr w:type="spellStart"/>
      <w:r w:rsidRPr="007C6285">
        <w:rPr>
          <w:rStyle w:val="a3"/>
          <w:rFonts w:cs="Tahoma"/>
          <w:color w:val="444444"/>
          <w:sz w:val="24"/>
          <w:szCs w:val="24"/>
          <w:shd w:val="clear" w:color="auto" w:fill="FFFFFF"/>
        </w:rPr>
        <w:t>Tribunal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du</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travail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Nivelles</w:t>
      </w:r>
      <w:proofErr w:type="spellEnd"/>
      <w:r w:rsidRPr="007C6285">
        <w:rPr>
          <w:rStyle w:val="a3"/>
          <w:rFonts w:cs="Tahoma"/>
          <w:color w:val="444444"/>
          <w:sz w:val="24"/>
          <w:szCs w:val="24"/>
          <w:shd w:val="clear" w:color="auto" w:fill="FFFFFF"/>
        </w:rPr>
        <w:t xml:space="preserve"> - Βέλγιο. - Άρθρα 6, 8 και 8 Α της Συνθήκης ΕΚ (νυν, κατόπιν τροποποιήσεως, άρθρα 12 ΕΚ, 17 ΕΚ και 18 ΕΚ) - Οδηγία 93/96/ΕΟΚ του Συμβουλίου - Δικαίωμα διαμονής των σπουδαστών - Εθνική νομοθεσία που εγγυάται κατώτατο όριο διαβιώσεως, μόνο στους ημεδαπούς, στα πρόσωπα στα οποία έχει εφαρμογή ο κανονισμός (ΕΟΚ) 1612/68, στους απάτριδες και στους πρόσφυγες - Αλλοδαπός σπουδαστής που, κατά τα πρώτα έτη των σπουδών του, κέρδιζε τα προς το ζην εργαζόμενος. - Υπόθεση C-184/99.</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1. Ιθαγένεια της Ευρωπαϊκής Ενώσεως - Διατάξεις της Συνθήκης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ροσωπικό πεδίο εφαρμογής - Υπήκοος κράτους μέλους που διαμένει νομίμως εντός του εδάφους άλλου κράτους μέλους - Εμπίπτει - Αποτέλεσμα - Άσκηση των δικαιωμάτων που συναρτώνται προς την ιδιότητα του πολίτη της Ευρωπαϊκής Ενώσεως - Δυνατότητα του πολίτη της Ενώσεως που σπουδάζει σε πανεπιστήμιο κράτους μέλους άλλου από αυτό του οποίου είναι υπήκοος να επικαλεστεί την απαγόρευση κάθε διακρίσεως λόγω ιθαγένειας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άρθρα 6, 8 και 8 Α (νυν, κατόπιν τροποποιήσεως, άρθρα 12 ΕΚ, 17 ΕΚ και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2. Ελεύθερη κυκλοφορία των προσώπων - Δικαίωμα εισόδου και διαμονής των υπηκόων των κρατών μελών - Οδηγία 93/96 -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ροϋποθέσεις που απαιτούνται για τη χορήγηση άδειας διαμονής - Εθνική κανονιστική ρύθμιση που απαιτεί από τους φοιτητές, υπηκόους των κρατών μελών, να διαθέτουν πόρους καθορισμένου ποσού, που πρέπει να αποδεικνύονται με συγκεκριμένα έγγραφα - Δεν επιτρέπεται - Δυνατότητα του κράτους μέλους υποδοχής να λάβει μέτρα για να θέσει τέλος στη διαμονή σπουδαστή που κατέφυγε στην κοινωνική πρόνοια του εν λόγω κράτους - Όρια</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(Οδηγία 93/96 του Συμβουλίου)</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3. Κοινοτικό δίκαιο - Αρχές - Ίση μεταχείριση - Διάκριση λόγω ιθαγενείας - Κοινωνική παροχή </w:t>
      </w:r>
      <w:proofErr w:type="spellStart"/>
      <w:r w:rsidRPr="007C6285">
        <w:rPr>
          <w:rFonts w:eastAsia="Times New Roman" w:cs="Tahoma"/>
          <w:i/>
          <w:iCs/>
          <w:color w:val="333333"/>
          <w:sz w:val="24"/>
          <w:szCs w:val="24"/>
          <w:shd w:val="clear" w:color="auto" w:fill="FFFFFF"/>
          <w:lang w:eastAsia="el-GR"/>
        </w:rPr>
        <w:t>εξασφαλίζουσα</w:t>
      </w:r>
      <w:proofErr w:type="spellEnd"/>
      <w:r w:rsidRPr="007C6285">
        <w:rPr>
          <w:rFonts w:eastAsia="Times New Roman" w:cs="Tahoma"/>
          <w:i/>
          <w:iCs/>
          <w:color w:val="333333"/>
          <w:sz w:val="24"/>
          <w:szCs w:val="24"/>
          <w:shd w:val="clear" w:color="auto" w:fill="FFFFFF"/>
          <w:lang w:eastAsia="el-GR"/>
        </w:rPr>
        <w:t xml:space="preserve"> κατώτατο όριο διαβιώσεως - Εθνική νομοθεσία που εξαρτά το δικαίωμα στην κοινωνική αυτή παροχή, μόνο για τους υπηκόους άλλων κρατών μελών, από την προϋπόθεση να εμπίπτουν στο πεδίο εφαρμογής του κανονισμού 1612/68 - Δεν επιτρέπεται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άρθρα 6 και 8 (νυν, κατόπιν τροποποιήσεως, άρθρα 12 ΕΚ και 17 ΕΚ)· κανονισμός 1612/68 του Συμβουλίου]</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4.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 xml:space="preserve">ροδικαστικά ερωτήματα - Ερμηνεία - Διαχρονικά αποτελέσματα των ερμηνευτικών αποφάσεων - Αναδρομικό αποτέλεσμα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 xml:space="preserve">εριορισμός από το Δικαστήριο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ροϋποθέσεις - Η σημασία για το οικείο κράτος μέλος των οικονομικών συνεπειών της αποφάσεως - Μη αποφασιστικό κριτήριο</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άρθρο 177 (νυν άρθρο 234 ΕΚ)]</w:t>
      </w:r>
    </w:p>
    <w:p w:rsidR="00941523" w:rsidRPr="007C6285" w:rsidRDefault="00941523" w:rsidP="00941523">
      <w:pPr>
        <w:spacing w:after="0" w:line="240" w:lineRule="auto"/>
        <w:jc w:val="both"/>
        <w:rPr>
          <w:rFonts w:eastAsia="Times New Roman" w:cs="Times New Roman"/>
          <w:sz w:val="24"/>
          <w:szCs w:val="24"/>
          <w:lang w:eastAsia="el-GR"/>
        </w:rPr>
      </w:pPr>
      <w:r w:rsidRPr="007C6285">
        <w:rPr>
          <w:rFonts w:eastAsia="Times New Roman" w:cs="Tahoma"/>
          <w:i/>
          <w:iCs/>
          <w:color w:val="333333"/>
          <w:sz w:val="24"/>
          <w:szCs w:val="24"/>
          <w:shd w:val="clear" w:color="auto" w:fill="FFFFFF"/>
          <w:lang w:eastAsia="el-GR"/>
        </w:rPr>
        <w:lastRenderedPageBreak/>
        <w:t>1. Η ιδιότητα του πολίτη της Ενώσεως τείνει να αποτελέσει τη θεμελιώδη ιδιότητα των υπηκόων των κρατών μελών, η οποία εξασφαλίζει την ίδια νομική μεταχείριση σε όσους εξ αυτών βρίσκονται στην ίδια κατάσταση, ανεξάρτητα από την ιθαγένειά τους και υπό την επιφύλαξη των ρητά προβλεπομένων εξαιρέσεων.</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Ο πολίτης της Ενώσεως ο οποίος διαμένει νομίμως εντός του εδάφους του κράτους μέλους υποδοχής μπορεί να επικαλεστεί το άρθρο 6 της Συνθήκης (νυν, κατόπιν τροποποιήσεως, άρθρο 12 ΕΚ) σε όλες τις καταστάσεις που εμπίπτουν στο καθ' ύλη πεδίο εφαρμογής του κοινοτικού δικαίου.</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Στις καταστάσεις αυτές περιλαμβάνονται, μεταξύ άλλων, αυτές που άπτονται της ασκήσεως των θεμελιωδών ελευθεριών που εγγυάται η Συνθήκη και της ασκήσεως της ελευθερίας κυκλοφορίας και διαμονής στο έδαφος των κρατών μελών, την οποία απονέμει το άρθρο 8 Α της Συνθήκης (νυν, κατόπιν τροποποιήσεως, άρθρο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Το γεγονός ότι ένας πολίτης της Ενώσεως σπουδάζει σε πανεπιστήμιο κράτους μέλους άλλου από αυτό του οποίου είναι υπήκοος δεν μπορεί να του στερήσει τη δυνατότητα να επικαλεστεί την απαγόρευση κάθε δυσμενούς διακρίσεως λόγω ιθαγένειας, την οποία προβλέπει το άρθρο 6 της Συνθήκης. Συγκεκριμένα, η Συνθήκη για την Ευρωπαϊκή Ένωση εισήγαγε στη Συνθήκη ΕΚ την ιθαγένεια της Ενώσεως και πρόσθεσε στο τρίτο μέρος της, στον τίτλο VIII, το κεφάλαιο 3, το οποίο αφορά, μεταξύ άλλων, την παιδεία και την επαγγελματική εκπαίδευση. Ουδόλως προκύπτει από το κείμενο της Συνθήκης, όπως αυτό τροποποιήθηκε, ότι οι σπουδαστές που είναι πολίτες της Ενώσεως στερούνται των δικαιωμάτων που απονέμει η Συνθήκη στους πολίτες της Ενώσεως, όταν μετακινούνται σε άλλο κράτος μέλος για να σπουδάσουν. Επιπλέον, το Συμβούλιο εξέδωσε επίσης την οδηγία 93/96 που προβλέπει ότι τα κράτη μέλη αναγνωρίζουν το δικαίωμα διαμονής στους σπουδαστές-υπηκόους κράτους μέλους που πληρούν ορισμένες προϋποθέσεις.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31-33, 35-36 )</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2. Το άρθρο 1 της οδηγίας 93/96, σχετικά με το δικαίωμα διαμονής των σπουδαστών, δεν απαιτεί, ως αναγκαία προϋπόθεση για την απόκτηση του δικαιώματος διαμονής, την ύπαρξη πόρων συγκεκριμένου ύψους ούτε τη </w:t>
      </w:r>
      <w:proofErr w:type="spellStart"/>
      <w:r w:rsidRPr="007C6285">
        <w:rPr>
          <w:rFonts w:eastAsia="Times New Roman" w:cs="Tahoma"/>
          <w:i/>
          <w:iCs/>
          <w:color w:val="333333"/>
          <w:sz w:val="24"/>
          <w:szCs w:val="24"/>
          <w:shd w:val="clear" w:color="auto" w:fill="FFFFFF"/>
          <w:lang w:eastAsia="el-GR"/>
        </w:rPr>
        <w:t>δικαιολόγησή</w:t>
      </w:r>
      <w:proofErr w:type="spellEnd"/>
      <w:r w:rsidRPr="007C6285">
        <w:rPr>
          <w:rFonts w:eastAsia="Times New Roman" w:cs="Tahoma"/>
          <w:i/>
          <w:iCs/>
          <w:color w:val="333333"/>
          <w:sz w:val="24"/>
          <w:szCs w:val="24"/>
          <w:shd w:val="clear" w:color="auto" w:fill="FFFFFF"/>
          <w:lang w:eastAsia="el-GR"/>
        </w:rPr>
        <w:t xml:space="preserve"> τους με συγκεκριμένα έγγραφα. Τίθεται μόνο ζήτημα δηλώσεως ή οποιουδήποτε ισοδυνάμου τουλάχιστον μέσου με το οποίο να μπορεί ο σπουδαστής να διαβεβαιώσει την ενδιαφερόμενη εθνική αρχή ότι διαθέτει, για τον ίδιο καθώς και, ενδεχομένως, για τον/τη σύζυγό του και τα συντηρούμενα τέκνα του, πόρους ώστε να μην επιβαρύνουν, κατά τη διάρκεια της διαμονής τους, την κοινωνική πρόνοια του κράτους μέλους υποδοχής.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άντως, η ερμηνεία αυτή δεν αποκλείει ότι το κράτος μέλος υποδοχής μπορεί να θεωρήσει ότι ένας σπουδαστής που έλαβε κοινωνική αρωγή δεν πληροί πλέον τις προϋποθέσεις από τις οποίες εξαρτάται το δικαίωμα διαμονής του και, ως εκ τούτου, να λάβει μέτρα, εντός των ορίων που επιβάλλει συναφώς το κοινοτικό δίκαιο, είτε για να ανακαλέσει την άδεια διαμονής του υπηκόου αυτού είτε για να μην την ανανεώσει. Εντούτοις, τέτοιου είδους μέτρα δεν μπορούν σε καμία περίπτωση να αποτελούν αυτόματη συνέπεια του ότι ένας σπουδαστής-υπήκοος άλλου κράτους μέλους καταφεύγει στην κοινωνική πρόνοια του κράτους μέλους υποδοχής.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lastRenderedPageBreak/>
        <w:t>Συγκεκριμένα, η οδηγία 93/96, όπως εξάλλου και οι οδηγίες 90/364, σχετικά με το δικαίωμα διαμονής, και 90/365, σχετικά με το δικαίωμα διαμονής των μισθωτών και μη μισθωτών εργαζομένων που έχουν παύσει την επαγγελματική τους δραστηριότητα, δέχεται την ύπαρξη ορισμένου βαθμού οικονομικής αλληλεγγύης μεταξύ των υπηκόων του κράτους αυτού και των υπηκόων των λοιπών κρατών μελών, ιδίως αν οι δυσχέρειες που αντιμετωπίζει ο δικαιούχος του δικαιώματος διαμονής είναι προσωρινές. Επιπλέον, η οικονομική κατάσταση ενός σπουδαστή μπορεί να μεταβληθεί με το πέρασμα του χρόνου για λόγους ανεξάρτητους από τη βούλησή του. Ως εκ τούτου, η ειλικρίνεια της δηλώσεώς του μπορεί να εκτιμηθεί μόνον τη στιγμή που γίνεται.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40, 42-45 )</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3. </w:t>
      </w:r>
      <w:proofErr w:type="spellStart"/>
      <w:r w:rsidRPr="007C6285">
        <w:rPr>
          <w:rFonts w:eastAsia="Times New Roman" w:cs="Tahoma"/>
          <w:i/>
          <w:iCs/>
          <w:color w:val="333333"/>
          <w:sz w:val="24"/>
          <w:szCs w:val="24"/>
          <w:shd w:val="clear" w:color="auto" w:fill="FFFFFF"/>
          <w:lang w:eastAsia="el-GR"/>
        </w:rPr>
        <w:t>Tα</w:t>
      </w:r>
      <w:proofErr w:type="spellEnd"/>
      <w:r w:rsidRPr="007C6285">
        <w:rPr>
          <w:rFonts w:eastAsia="Times New Roman" w:cs="Tahoma"/>
          <w:i/>
          <w:iCs/>
          <w:color w:val="333333"/>
          <w:sz w:val="24"/>
          <w:szCs w:val="24"/>
          <w:shd w:val="clear" w:color="auto" w:fill="FFFFFF"/>
          <w:lang w:eastAsia="el-GR"/>
        </w:rPr>
        <w:t xml:space="preserve"> άρθρα 6 και 8 της Συνθήκης (νυν, κατόπιν τροποποιήσεως, άρθρα 12 ΕΚ και 17 ΕΚ) απαγορεύουν να εξαρτάται το δικαίωμα σε κοινωνικές παροχές που χορηγούνται από σύστημα μη στηριζόμενο σε εισφορές, όπως είναι το κατώτατο όριο διαβιώσεως, όσον αφορά τους υπηκόους κρατών μελών εκτός του κράτους μέλους υποδοχής, στο έδαφος του οποίου οι εν λόγω υπήκοοι κατοικούν νομίμως, από την προϋπόθεση να εμπίπτουν οι υπήκοοι αυτοί στο πεδίο εφαρμογής του κανονισμού 1612/68, περί της ελεύθερης κυκλοφορίας των εργαζομένων στο εσωτερικό της Κοινότητας, ενώ μια παρόμοια προϋπόθεση δεν ισχύει για τους υπηκόους του κράτους μέλους υποδοχής.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 βλ. σκέψη 46 και </w:t>
      </w:r>
      <w:proofErr w:type="spellStart"/>
      <w:r w:rsidRPr="007C6285">
        <w:rPr>
          <w:rFonts w:eastAsia="Times New Roman" w:cs="Tahoma"/>
          <w:i/>
          <w:iCs/>
          <w:color w:val="333333"/>
          <w:sz w:val="24"/>
          <w:szCs w:val="24"/>
          <w:shd w:val="clear" w:color="auto" w:fill="FFFFFF"/>
          <w:lang w:eastAsia="el-GR"/>
        </w:rPr>
        <w:t>διατακτ</w:t>
      </w:r>
      <w:proofErr w:type="spellEnd"/>
      <w:r w:rsidRPr="007C6285">
        <w:rPr>
          <w:rFonts w:eastAsia="Times New Roman" w:cs="Tahoma"/>
          <w:i/>
          <w:iCs/>
          <w:color w:val="333333"/>
          <w:sz w:val="24"/>
          <w:szCs w:val="24"/>
          <w:shd w:val="clear" w:color="auto" w:fill="FFFFFF"/>
          <w:lang w:eastAsia="el-GR"/>
        </w:rPr>
        <w:t>. )</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4. Η εκ μέρους του Δικαστηρίου ερμηνεία διατάξεως του κοινοτικού δικαίου περιορίζεται να διευκρινίσει και να αποσαφηνίσει την έννοια και το περιεχόμενό της, όπως η διάταξη αυτή έπρεπε να έχει ερμηνευθεί και εφαρμοστεί από τον χρόνο θέσεώς της σε ισχύ. Μόνον κατ' εξαίρεση μπορεί το Δικαστήριο, κατ' </w:t>
      </w:r>
      <w:proofErr w:type="spellStart"/>
      <w:r w:rsidRPr="007C6285">
        <w:rPr>
          <w:rFonts w:eastAsia="Times New Roman" w:cs="Tahoma"/>
          <w:i/>
          <w:iCs/>
          <w:color w:val="333333"/>
          <w:sz w:val="24"/>
          <w:szCs w:val="24"/>
          <w:shd w:val="clear" w:color="auto" w:fill="FFFFFF"/>
          <w:lang w:eastAsia="el-GR"/>
        </w:rPr>
        <w:t>εφαρμογήν</w:t>
      </w:r>
      <w:proofErr w:type="spellEnd"/>
      <w:r w:rsidRPr="007C6285">
        <w:rPr>
          <w:rFonts w:eastAsia="Times New Roman" w:cs="Tahoma"/>
          <w:i/>
          <w:iCs/>
          <w:color w:val="333333"/>
          <w:sz w:val="24"/>
          <w:szCs w:val="24"/>
          <w:shd w:val="clear" w:color="auto" w:fill="FFFFFF"/>
          <w:lang w:eastAsia="el-GR"/>
        </w:rPr>
        <w:t xml:space="preserve"> της γενικής αρχής της ασφάλειας δικαίου που είναι συμφυής με την κοινοτική έννομη τάξη, να αποφασίσει τον περιορισμό της δυνατότητας που έχει κάθε ενδιαφερόμενος να επικαλεστεί μια διάταξη που αυτό έχει ερμηνεύσει, προκειμένου να τεθούν υπό αμφισβήτηση έννομες σχέσεις που έχουν συναφθεί </w:t>
      </w:r>
      <w:proofErr w:type="spellStart"/>
      <w:r w:rsidRPr="007C6285">
        <w:rPr>
          <w:rFonts w:eastAsia="Times New Roman" w:cs="Tahoma"/>
          <w:i/>
          <w:iCs/>
          <w:color w:val="333333"/>
          <w:sz w:val="24"/>
          <w:szCs w:val="24"/>
          <w:shd w:val="clear" w:color="auto" w:fill="FFFFFF"/>
          <w:lang w:eastAsia="el-GR"/>
        </w:rPr>
        <w:t>καλοπίστως</w:t>
      </w:r>
      <w:proofErr w:type="spellEnd"/>
      <w:r w:rsidRPr="007C6285">
        <w:rPr>
          <w:rFonts w:eastAsia="Times New Roman" w:cs="Tahoma"/>
          <w:i/>
          <w:iCs/>
          <w:color w:val="333333"/>
          <w:sz w:val="24"/>
          <w:szCs w:val="24"/>
          <w:shd w:val="clear" w:color="auto" w:fill="FFFFFF"/>
          <w:lang w:eastAsia="el-GR"/>
        </w:rPr>
        <w:t xml:space="preserve">. Οι οικονομικές συνέπειες που θα μπορούσαν να απορρέουν για ένα κράτος μέλος από απόφαση εκδοθείσα επί προδικαστικής παραπομπής δεν δικαιολογούν </w:t>
      </w:r>
      <w:proofErr w:type="spellStart"/>
      <w:r w:rsidRPr="007C6285">
        <w:rPr>
          <w:rFonts w:eastAsia="Times New Roman" w:cs="Tahoma"/>
          <w:i/>
          <w:iCs/>
          <w:color w:val="333333"/>
          <w:sz w:val="24"/>
          <w:szCs w:val="24"/>
          <w:shd w:val="clear" w:color="auto" w:fill="FFFFFF"/>
          <w:lang w:eastAsia="el-GR"/>
        </w:rPr>
        <w:t>καθεαυτές</w:t>
      </w:r>
      <w:proofErr w:type="spellEnd"/>
      <w:r w:rsidRPr="007C6285">
        <w:rPr>
          <w:rFonts w:eastAsia="Times New Roman" w:cs="Tahoma"/>
          <w:i/>
          <w:iCs/>
          <w:color w:val="333333"/>
          <w:sz w:val="24"/>
          <w:szCs w:val="24"/>
          <w:shd w:val="clear" w:color="auto" w:fill="FFFFFF"/>
          <w:lang w:eastAsia="el-GR"/>
        </w:rPr>
        <w:t xml:space="preserve"> τον κατά χρόνο περιορισμό των αποτελεσμάτων της αποφάσεως αυτής.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50-52 )</w:t>
      </w:r>
    </w:p>
    <w:p w:rsidR="00941523" w:rsidRPr="007C6285" w:rsidRDefault="00941523" w:rsidP="00941523">
      <w:pPr>
        <w:jc w:val="both"/>
        <w:rPr>
          <w:sz w:val="24"/>
          <w:szCs w:val="24"/>
        </w:rPr>
      </w:pPr>
    </w:p>
    <w:p w:rsidR="007E4791" w:rsidRPr="007E4791" w:rsidRDefault="007E4791" w:rsidP="007E4791">
      <w:pPr>
        <w:pStyle w:val="sum-title-1"/>
        <w:shd w:val="clear" w:color="auto" w:fill="FFFFFF"/>
        <w:spacing w:before="103" w:beforeAutospacing="0" w:after="206" w:afterAutospacing="0"/>
        <w:jc w:val="center"/>
        <w:rPr>
          <w:rFonts w:asciiTheme="minorHAnsi" w:hAnsiTheme="minorHAnsi"/>
          <w:i/>
        </w:rPr>
      </w:pPr>
      <w:r w:rsidRPr="007E4791">
        <w:rPr>
          <w:rStyle w:val="bold"/>
          <w:rFonts w:asciiTheme="minorHAnsi" w:hAnsiTheme="minorHAnsi"/>
          <w:b/>
          <w:bCs/>
          <w:i/>
        </w:rPr>
        <w:t xml:space="preserve">Υπόθεση </w:t>
      </w:r>
      <w:r w:rsidRPr="007E4791">
        <w:rPr>
          <w:rStyle w:val="bold"/>
          <w:rFonts w:asciiTheme="minorHAnsi" w:hAnsiTheme="minorHAnsi"/>
          <w:b/>
          <w:bCs/>
          <w:i/>
          <w:lang w:val="en-US"/>
        </w:rPr>
        <w:t>C</w:t>
      </w:r>
      <w:r w:rsidRPr="007E4791">
        <w:rPr>
          <w:rStyle w:val="bold"/>
          <w:rFonts w:asciiTheme="minorHAnsi" w:hAnsiTheme="minorHAnsi"/>
          <w:b/>
          <w:bCs/>
          <w:i/>
        </w:rPr>
        <w:noBreakHyphen/>
        <w:t xml:space="preserve">333/13, </w:t>
      </w:r>
      <w:proofErr w:type="spellStart"/>
      <w:r w:rsidRPr="007E4791">
        <w:rPr>
          <w:rStyle w:val="bold"/>
          <w:rFonts w:asciiTheme="minorHAnsi" w:hAnsiTheme="minorHAnsi"/>
          <w:b/>
          <w:bCs/>
          <w:i/>
          <w:lang w:val="en-US"/>
        </w:rPr>
        <w:t>Dano</w:t>
      </w:r>
      <w:proofErr w:type="spellEnd"/>
    </w:p>
    <w:p w:rsidR="007E4791" w:rsidRDefault="007E4791" w:rsidP="007E4791">
      <w:pPr>
        <w:pStyle w:val="prelim"/>
        <w:shd w:val="clear" w:color="auto" w:fill="FFFFFF"/>
        <w:spacing w:before="103" w:beforeAutospacing="0" w:after="237" w:afterAutospacing="0"/>
        <w:jc w:val="center"/>
        <w:rPr>
          <w:rFonts w:asciiTheme="minorHAnsi" w:hAnsiTheme="minorHAnsi"/>
        </w:rPr>
      </w:pPr>
      <w:r w:rsidRPr="00C71A51">
        <w:rPr>
          <w:rFonts w:asciiTheme="minorHAnsi" w:hAnsiTheme="minorHAnsi"/>
        </w:rPr>
        <w:t xml:space="preserve"> </w:t>
      </w:r>
    </w:p>
    <w:p w:rsidR="007E4791" w:rsidRPr="00C71A51" w:rsidRDefault="007E4791" w:rsidP="007E4791">
      <w:pPr>
        <w:pStyle w:val="prelim"/>
        <w:shd w:val="clear" w:color="auto" w:fill="FFFFFF"/>
        <w:spacing w:before="103" w:beforeAutospacing="0" w:after="237" w:afterAutospacing="0"/>
        <w:jc w:val="center"/>
        <w:rPr>
          <w:rFonts w:asciiTheme="minorHAnsi" w:hAnsiTheme="minorHAnsi"/>
        </w:rPr>
      </w:pPr>
      <w:r w:rsidRPr="00C71A51">
        <w:rPr>
          <w:rFonts w:asciiTheme="minorHAnsi" w:hAnsiTheme="minorHAnsi"/>
        </w:rPr>
        <w:t xml:space="preserve">«Προδικαστική παραπομπή — Ελεύθερη κυκλοφορία των προσώπων — Ιθαγένεια της Ένωσης — Ίση μεταχείριση — Μη έχοντες οικονομική δραστηριότητα πολίτες κράτους μέλους που διαμένουν στο έδαφος άλλου κράτους μέλους — Αποκλεισμός των προσώπων αυτών από ειδικές μη ανταποδοτικού τύπου παροχές σε χρήμα δυνάμει του κανονισμού (ΕΚ) 883/2004 — Οδηγία 2004/38/ΕΚ — Δικαίωμα </w:t>
      </w:r>
      <w:r w:rsidRPr="00C71A51">
        <w:rPr>
          <w:rFonts w:asciiTheme="minorHAnsi" w:hAnsiTheme="minorHAnsi"/>
        </w:rPr>
        <w:lastRenderedPageBreak/>
        <w:t xml:space="preserve">διαμονής άνω των τριών μηνών — Άρθρα 7, παράγραφος 1, στοιχείο </w:t>
      </w:r>
      <w:proofErr w:type="spellStart"/>
      <w:r w:rsidRPr="00C71A51">
        <w:rPr>
          <w:rFonts w:asciiTheme="minorHAnsi" w:hAnsiTheme="minorHAnsi"/>
        </w:rPr>
        <w:t>βʹ</w:t>
      </w:r>
      <w:proofErr w:type="spellEnd"/>
      <w:r w:rsidRPr="00C71A51">
        <w:rPr>
          <w:rFonts w:asciiTheme="minorHAnsi" w:hAnsiTheme="minorHAnsi"/>
        </w:rPr>
        <w:t>, και 24 — Προϋπόθεση επαρκών πόρων»</w:t>
      </w:r>
    </w:p>
    <w:p w:rsidR="007E4791" w:rsidRPr="00C71A51" w:rsidRDefault="007E4791" w:rsidP="007E4791">
      <w:pPr>
        <w:pStyle w:val="sum-title-1"/>
        <w:shd w:val="clear" w:color="auto" w:fill="FFFFFF"/>
        <w:spacing w:before="103" w:beforeAutospacing="0" w:after="206" w:afterAutospacing="0"/>
        <w:jc w:val="center"/>
        <w:rPr>
          <w:rFonts w:asciiTheme="minorHAnsi" w:hAnsiTheme="minorHAnsi"/>
        </w:rPr>
      </w:pPr>
      <w:r w:rsidRPr="00C71A51">
        <w:rPr>
          <w:rFonts w:asciiTheme="minorHAnsi" w:hAnsiTheme="minorHAnsi"/>
        </w:rPr>
        <w:t>Περίληψη — Απόφαση του Δικαστηρίου (τμήμα μείζονος συνθέσεως) της 11ης Νοεμβρίου 2014</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Κοινωνική ασφάλιση – Διακινούμενοι εργαζόμενοι – Ίση μεταχείριση κατά την έννοια του άρθρου 4 του κανονισμού 883/2004 – Πεδίο εφαρμογής – Ειδικές μη ανταποδοτικού τύπου παροχές σε χρήμα – Εμπίπτουν</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(Κανονισμός 883/2004 του Ευρωπαϊκού Κοινοβουλίου και του Συμβουλίου, άρθρα 3 §§ 3, 4 και 70· κανονισμός 1247/92 του Συμβουλίου, αιτιολογικές σκέψεις 3 και 7)</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Κοινωνική ασφάλιση – Διακινούμενοι εργαζόμενοι – Οδηγία 2004/38 – Κοινωνικές παροχές – Έννοια – Ειδικές μη ανταποδοτικού τύπου παροχές σε χρήμα κατά το άρθρο 70, παράγραφος 2, του κανονισμού 883/2004 – Εμπίπτουν</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(Κανονισμός 883/2004 του Ευρωπαϊκού Κοινοβουλίου και του Συμβουλίου, άρθρο 70 § 2· οδηγία 2004/38 του Ευρωπαϊκού Κοινοβουλίου και του Συμβουλίου, άρθρο 24 § 2)</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Ιθαγένεια της Ένωσης – Δικαίωμα ελεύθερης κυκλοφορίας και ελεύθερης διαμονής στο έδαφος των κρατών μελών – Οδηγία 2004/38 – Αρχή της ίσης μεταχειρίσεως – Υποχρέωση του κράτος μέλος υποδοχής να παράσχει δικαίωμα κοινωνικών παροχών σε μη έχοντες οικονομική δραστηριότητα πολίτες άλλων κρατών μελών – Προϋποθέσεις – Διαμονή στο έδαφος του κράτους μέλους υποδοχής που είναι σύμφωνη με τις προϋποθέσεις της οδηγίας – Υποχρέωση του μη έχοντος οικονομική δραστηριότητα πολίτη της Ένωσης να διαθέτει επαρκείς πόρους για τον εαυτό του και τα μέλη της οικογένειάς του</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 xml:space="preserve">(Κανονισμός 883/2004 του Ευρωπαϊκού Κοινοβουλίου και του Συμβουλίου, άρθρα 4 και 70· οδηγία 2004/38 του Ευρωπαϊκού Κοινοβουλίου και του Συμβουλίου, αιτιολογική σκέψη 10 και άρθρα 7 § 1, στοιχείο </w:t>
      </w:r>
      <w:proofErr w:type="spellStart"/>
      <w:r w:rsidRPr="00C71A51">
        <w:rPr>
          <w:rFonts w:asciiTheme="minorHAnsi" w:hAnsiTheme="minorHAnsi"/>
          <w:i/>
          <w:iCs/>
        </w:rPr>
        <w:t>βʹ</w:t>
      </w:r>
      <w:proofErr w:type="spellEnd"/>
      <w:r w:rsidRPr="00C71A51">
        <w:rPr>
          <w:rFonts w:asciiTheme="minorHAnsi" w:hAnsiTheme="minorHAnsi"/>
          <w:i/>
          <w:iCs/>
        </w:rPr>
        <w:t>, και 24 § 1)</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Προδικαστικά ερωτήματα – Αρμοδιότητα του Δικαστηρίου – Όρια – Αίτημα ερμηνείας του Χάρτη των Θεμελιωδών Δικαιωμάτων της Ευρωπαϊκής Ένωσης – Αντικείμενο της ενώπιον του εθνικού δικαστηρίου διαφοράς που δεν παρουσιάζει κανένα συνδετικό στοιχείο με το δίκαιο της Ένωσης – Έλλειψη αρμοδιότητας του Δικαστηρίου</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(Άρθρο 6 § 1 ΣΕΕ· άρθρο 267 ΣΛΕΕ· Χάρτης των Θεμελιωδών Δικαιωμάτων της Ευρωπαϊκής Ένωσης, άρθρο 51 § 1· κανονισμός 883/2004 του Ευρωπαϊκού Κοινοβουλίου και του Συμβουλίου, άρθρο 70· οδηγία 2004/38 του Ευρωπαϊκού Κοινοβουλίου και του Συμβουλίου)</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Ο κανονισμός 883/2004, για τον συντονισμό των συστημάτων κοινωνικής ασφάλειας, όπως τροποποιήθηκε με τον κανονισμό 1244/2010, έχει την έννοια ότι οι «ειδικές μη ανταποδοτικού τύπου παροχές σε χρήμα» κατά την έννοια των άρθρων 3, παράγραφος 3, και 70 του εν λόγω κανονισμού εμπίπτουν στο πεδίο εφαρμογής του άρθρου 4 του κανονισμού αυτού.</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 xml:space="preserve">Πράγματι, αφενός, όπως σαφώς προκύπτει από το γράμμα του άρθρου 3 του κανονισμού 883/2004, ο κανονισμός αυτός εφαρμόζεται επί των ειδικών μη ανταποδοτικού τύπου παροχών σε χρήμα. Αφετέρου, μολονότι αληθεύει ότι το </w:t>
      </w:r>
      <w:r w:rsidRPr="00C71A51">
        <w:rPr>
          <w:rFonts w:asciiTheme="minorHAnsi" w:hAnsiTheme="minorHAnsi"/>
        </w:rPr>
        <w:lastRenderedPageBreak/>
        <w:t>άρθρο 70, παράγραφος 3, του κανονισμού 883/2004 προβλέπει, κατ’ εξαίρεση, ότι ορισμένες διατάξεις του κανονισμού αυτού δεν έχουν εφαρμογή επί των ως άνω παροχών, εντούτοις το άρθρο 4 αυτού δεν περιλαμβάνεται μεταξύ των εν λόγω διατάξεων. Τέλος, από τις αιτιολογικές σκέψεις 3 και 7 του κανονισμού 1247/92 προκύπτει ότι χαρακτηριστικό της ιδιαίτερης διατάξεως που εισήγαγε ο εν λόγω κανονισμός στον κανονισμό 1408/71 είναι ο μη εξαγώγιμος χαρακτήρας των ειδικών μη ανταποδοτικού τύπου παροχών σε χρήμα έναντι της διασφαλίσεως ίσης μεταχειρίσεως εντός του κράτους κατοικίας.</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rPr>
      </w:pPr>
      <w:r w:rsidRPr="00C71A51">
        <w:rPr>
          <w:rFonts w:asciiTheme="minorHAnsi" w:hAnsiTheme="minorHAnsi"/>
        </w:rPr>
        <w:t xml:space="preserve">(βλ. σκέψεις 49, 51-55, </w:t>
      </w:r>
      <w:proofErr w:type="spellStart"/>
      <w:r w:rsidRPr="00C71A51">
        <w:rPr>
          <w:rFonts w:asciiTheme="minorHAnsi" w:hAnsiTheme="minorHAnsi"/>
        </w:rPr>
        <w:t>διατακτ</w:t>
      </w:r>
      <w:proofErr w:type="spellEnd"/>
      <w:r w:rsidRPr="00C71A51">
        <w:rPr>
          <w:rFonts w:asciiTheme="minorHAnsi" w:hAnsiTheme="minorHAnsi"/>
        </w:rPr>
        <w:t>. 1)</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Οι «ειδικές μη ανταποδοτικού τύπου παροχές σε χρήμα» που διαλαμβάνονται στο άρθρο 70, παράγραφος 2, του κανονισμού 883/2004, για τον συντονισμό των συστημάτων κοινωνικής ασφάλειας, όπως τροποποιήθηκε με τον κανονισμό 1244/2010, εμπίπτουν στην έννοια «κοινωνικές παροχές» κατά το άρθρο 24, παράγραφος 2, της οδηγίας 2004/38,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Πράγματι, η έννοια αυτή αναφέρεται στο σύνολο των συστημάτων αρωγής που καθιερώνονται από τις δημόσιες αρχές, σε εθνικό, περιφερειακό ή τοπικό επίπεδο, στα οποία μπορούν να υπάγονται όσοι δεν διαθέτουν επαρκείς πόρους για να καλύψουν τις στοιχειώδεις ανάγκες τους καθώς και τις ανάγκες των οικογενειών τους και διατρέχουν, για τον λόγο αυτό, τον κίνδυνο να καταστούν, κατά τη διάρκεια της διαμονής τους, βάρος για τα δημόσια οικονομικά του κράτους μέλους υποδοχής, τέτοιο που θα μπορούσε να έχει επιπτώσεις στο συνολικό επίπεδο των βοηθημάτων που δύναται να χορηγήσει το κράτος αυτό.</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rPr>
      </w:pPr>
      <w:r w:rsidRPr="00C71A51">
        <w:rPr>
          <w:rFonts w:asciiTheme="minorHAnsi" w:hAnsiTheme="minorHAnsi"/>
        </w:rPr>
        <w:t>(βλ. σκέψη 63)</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xml:space="preserve"> Το άρθρο 24, παράγραφος 1, της οδηγίας 2004/38,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σε συνδυασμό με το άρθρο 7, παράγραφος 1, στοιχείο </w:t>
      </w:r>
      <w:proofErr w:type="spellStart"/>
      <w:r w:rsidRPr="00C71A51">
        <w:rPr>
          <w:rFonts w:asciiTheme="minorHAnsi" w:hAnsiTheme="minorHAnsi"/>
        </w:rPr>
        <w:t>βʹ</w:t>
      </w:r>
      <w:proofErr w:type="spellEnd"/>
      <w:r w:rsidRPr="00C71A51">
        <w:rPr>
          <w:rFonts w:asciiTheme="minorHAnsi" w:hAnsiTheme="minorHAnsi"/>
        </w:rPr>
        <w:t>, αυτής, καθώς και το άρθρο 4 του κανονισμού 883/2004, για τον συντονισμό των συστημάτων κοινωνικής ασφάλειας, όπως τροποποιήθηκε με τον κανονισμό 1244/2010, έχουν την έννοια ότι δεν αντιβαίνει προς αυτά ρύθμιση κράτους μέλους δυνάμει της οποίας οι μη έχοντες οικονομική δραστηριότητα πολίτες άλλων κρατών μελών αποκλείονται από τη χορήγηση ορισμένων «ειδικών μη ανταποδοτικού τύπου παροχών σε χρήμα» κατά την έννοια του άρθρου 70, παράγραφος 2, του κανονισμού 883/2004, μολονότι οι παροχές αυτές χορηγούνται στους πολίτες του κράτους μέλους υποδοχής οι οποίοι τελούν στην ίδια κατάσταση, στο μέτρο κατά το οποίο οι προαναφερθέντες πολίτες άλλων κρατών μελών δεν απολαύουν δικαιώματος διαμονής δυνάμει της οδηγίας 2004/38 εντός του κράτους μέλους υποδοχής.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 xml:space="preserve">Πράγματι, κατά το άρθρο 24, παράγραφος 1, της οδηγίας 2004/38, όλοι οι πολίτες της Ένωσης που διαμένουν στην επικράτεια του κράτους μέλους υποδοχής βάσει της οδηγίας αυτής απολαύουν ίσης μεταχειρίσεως σε σύγκριση με τους πολίτες του εν λόγω κράτους μέλους εντός του πεδίου εφαρμογής της Συνθήκης. Επομένως, όσον αφορά την πρόσβαση στις προαναφερθείσες κοινωνικές παροχές, κάθε πολίτης της Ένωσης μπορεί να ζητήσει να τύχει ίσης μεταχειρίσεως με τους πολίτες του κράτους μέλους υποδοχής μόνον εφόσον η διαμονή του στο έδαφος του </w:t>
      </w:r>
      <w:r w:rsidRPr="00C71A51">
        <w:rPr>
          <w:rFonts w:asciiTheme="minorHAnsi" w:hAnsiTheme="minorHAnsi"/>
        </w:rPr>
        <w:lastRenderedPageBreak/>
        <w:t>κράτους μέλους υποδοχής πληροί τις προϋποθέσεις της οδηγίας 2004/38. Αν γινόταν δεκτό ότι τα πρόσωπα που δεν απολαύουν δικαιώματος διαμονής δυνάμει της οδηγίας 2004/38 δύνανται να ζητούν τη αναγνώριση δικαιώματος κοινωνικών παροχών υπό τις ίδιες προϋποθέσεις με εκείνες που ισχύουν για τους ημεδαπούς, το συμπέρασμα αυτό θα αντέβαινε στον σκοπό της εν λόγω οδηγίας, όπως καθορίζεται στην αιτιολογική της σκέψη 10, ο οποίος συνίσταται στην αποτροπή του ενδεχομένου να καταστούν οι προερχόμενοι από άλλα κράτη μέλη πολίτες της Ένωσης υπέρμετρο βάρος για το σύστημα κοινωνικής πρόνοιας του κράτους μέλους υποδοχής.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 xml:space="preserve">Ειδικότερα, όσον αφορά μη έχοντες οικονομική δραστηριότητα πολίτες της Ένωσης των οποίων η διάρκεια διαμονής στο κράτος μέλος υποδοχής είναι μεγαλύτερη των τριών μηνών αλλά μικρότερη των πέντε ετών, πρέπει να εξετάζεται αν η διαμονή των εν λόγω πολιτών πληροί τις προϋποθέσεις του άρθρου 7, παράγραφος 1, στοιχείο </w:t>
      </w:r>
      <w:proofErr w:type="spellStart"/>
      <w:r w:rsidRPr="00C71A51">
        <w:rPr>
          <w:rFonts w:asciiTheme="minorHAnsi" w:hAnsiTheme="minorHAnsi"/>
        </w:rPr>
        <w:t>βʹ</w:t>
      </w:r>
      <w:proofErr w:type="spellEnd"/>
      <w:r w:rsidRPr="00C71A51">
        <w:rPr>
          <w:rFonts w:asciiTheme="minorHAnsi" w:hAnsiTheme="minorHAnsi"/>
        </w:rPr>
        <w:t xml:space="preserve">, της οδηγίας 2004/38, μεταξύ των οποίων περιλαμβάνεται η υποχρέωση του μη έχοντος οικονομική δραστηριότητα πολίτη της Ένωσης να διαθέτει επαρκείς πόρους για τον εαυτό του και τα μέλη της οικογένειάς του, υποχρέωση με την οποία επιχειρείται να αποτραπεί το ενδεχόμενο να χρησιμοποιούν οι μη έχοντες οικονομική δραστηριότητα πολίτες της Ένωσης το σύστημα πρόνοιας του κράτους μέλους υποδοχής προς τον σκοπό του βιοπορισμού. Κατ’ </w:t>
      </w:r>
      <w:proofErr w:type="spellStart"/>
      <w:r w:rsidRPr="00C71A51">
        <w:rPr>
          <w:rFonts w:asciiTheme="minorHAnsi" w:hAnsiTheme="minorHAnsi"/>
        </w:rPr>
        <w:t>εφαρμογήν</w:t>
      </w:r>
      <w:proofErr w:type="spellEnd"/>
      <w:r w:rsidRPr="00C71A51">
        <w:rPr>
          <w:rFonts w:asciiTheme="minorHAnsi" w:hAnsiTheme="minorHAnsi"/>
        </w:rPr>
        <w:t xml:space="preserve"> της διατάξεως αυτής, ένα κράτος μέλος πρέπει να έχει τη δυνατότητα να αρνείται τη χορήγηση κοινωνικών παροχών σε μη έχοντες οικονομική δραστηριότητα πολίτες της Ένωσης που ασκούν το δικαίωμα ελεύθερης κυκλοφορίας με μοναδικό σκοπό να τύχουν των κοινωνικών παροχών που χορηγεί άλλο κράτος μέλος, παρά το γεγονός ότι δεν διαθέτουν επαρκείς πόρους για να μπορούν να ζητήσουν να τους αναγνωριστεί δικαίωμα διαμονής. Στο πλαίσιο αυτό, πρέπει να διενεργείται ακριβής έλεγχος της οικονομικής καταστάσεως κάθε ενδιαφερόμενου, χωρίς να λαμβάνονται υπόψη οι ζητούμενες κοινωνικές παροχές.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Το ίδιο συμπέρασμα ισχύει όσον αφορά την ερμηνεία του άρθρου 4 του κανονισμού 883/2004, δεδομένου ότι οι «ειδικές μη ανταποδοτικού τύπου παροχές σε χρήμα» κατά την έννοια του άρθρου 70, παράγραφος 2, του εν λόγω κανονισμού, χορηγούνται, δυνάμει της παραγράφου 4 του άρθρου αυτού, αποκλειστικώς εντός του κράτους μέλους στο οποίο κατοικεί ο ενδιαφερόμενος και σύμφωνα με τη νομοθεσία του κράτους αυτού.</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rPr>
      </w:pPr>
      <w:r w:rsidRPr="00C71A51">
        <w:rPr>
          <w:rFonts w:asciiTheme="minorHAnsi" w:hAnsiTheme="minorHAnsi"/>
        </w:rPr>
        <w:t xml:space="preserve">(βλ. σκέψεις 68, 69, 74, 76, 78, 80, 83, 84, </w:t>
      </w:r>
      <w:proofErr w:type="spellStart"/>
      <w:r w:rsidRPr="00C71A51">
        <w:rPr>
          <w:rFonts w:asciiTheme="minorHAnsi" w:hAnsiTheme="minorHAnsi"/>
        </w:rPr>
        <w:t>διατακτ</w:t>
      </w:r>
      <w:proofErr w:type="spellEnd"/>
      <w:r w:rsidRPr="00C71A51">
        <w:rPr>
          <w:rFonts w:asciiTheme="minorHAnsi" w:hAnsiTheme="minorHAnsi"/>
        </w:rPr>
        <w:t>. 2)</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Το άρθρο 70 του κανονισμού 883/2004, για τον συντονισμό των συστημάτων κοινωνικής ασφάλειας, όπως τροποποιήθηκε με τον κανονισμό 1244/2010, το οποίο ορίζει την έννοια «ειδικές μη ανταποδοτικού τύπου παροχές σε χρήμα», δεν έχει σκοπό να καθορίσει τις ουσιαστικές προϋποθέσεις για την ύπαρξη αξιώσεως σε ειδικές μη ανταποδοτικού τύπου παροχές σε χρήμα. Επομένως, στη νομοθεσία κάθε κράτους μέλους απόκειται να καθορίσει τις προϋποθέσεις αυτές. Ως εκ τούτου, στον βαθμό που οι εν λόγω προϋποθέσεις δεν προκύπτουν από τον κανονισμό 883/2004, ούτε από την οδηγία 2004/38 ή από άλλες πράξεις του παράγωγου δικαίου της Ένωσης, τα κράτη μέλη, δεδομένου ότι είναι αρμόδια να ρυθμίζουν τις προϋποθέσεις χορηγήσεως των παροχών αυτών, είναι επίσης αρμόδια να καθορίζουν την έκταση της κοινωνικής καλύψεως που διασφαλίζεται από αυτού του είδους τις παροχές.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lastRenderedPageBreak/>
        <w:t>Κατά συνέπεια, τα κράτη μέλη, καθορίζοντας τις προϋποθέσεις και την έκταση της χορηγήσεως των ειδικών μη ανταποδοτικού τύπου παροχών σε χρήμα, δεν θέτουν σε εφαρμογή το δίκαιο της Ένωσης.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Επομένως, το Δικαστήριο δεν είναι αρμόδιο να απαντήσει στο ερώτημα αν τα άρθρα 1, 20 και 51 του Χάρτη των Θεμελιωδών Δικαιωμάτων της Ευρωπαϊκής Ένωσης έχουν την έννοια ότι επιβάλλουν στα κράτη μέλη την υποχρέωση να χορηγούν στους πολίτες της Ένωσης παροχές βασικής ασφαλίσεως μη ανταποδοτικού τύπου σε χρήμα προκειμένου να καταστεί δυνατή η μόνιμη διαμονή ή αν τα κράτη μέλη δύνανται να παρέχουν μόνο τα μέσα που είναι αναγκαία για την επιστροφή στο κράτος καταγωγής.</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lang w:val="en-US"/>
        </w:rPr>
      </w:pPr>
      <w:r w:rsidRPr="00C71A51">
        <w:rPr>
          <w:rFonts w:asciiTheme="minorHAnsi" w:hAnsiTheme="minorHAnsi"/>
          <w:lang w:val="en-US"/>
        </w:rPr>
        <w:t>(</w:t>
      </w:r>
      <w:proofErr w:type="gramStart"/>
      <w:r w:rsidRPr="00C71A51">
        <w:rPr>
          <w:rFonts w:asciiTheme="minorHAnsi" w:hAnsiTheme="minorHAnsi"/>
        </w:rPr>
        <w:t>βλ</w:t>
      </w:r>
      <w:proofErr w:type="gramEnd"/>
      <w:r w:rsidRPr="00C71A51">
        <w:rPr>
          <w:rFonts w:asciiTheme="minorHAnsi" w:hAnsiTheme="minorHAnsi"/>
          <w:lang w:val="en-US"/>
        </w:rPr>
        <w:t xml:space="preserve">. </w:t>
      </w:r>
      <w:r w:rsidRPr="00C71A51">
        <w:rPr>
          <w:rFonts w:asciiTheme="minorHAnsi" w:hAnsiTheme="minorHAnsi"/>
        </w:rPr>
        <w:t>σκέψεις</w:t>
      </w:r>
      <w:r w:rsidRPr="00C71A51">
        <w:rPr>
          <w:rFonts w:asciiTheme="minorHAnsi" w:hAnsiTheme="minorHAnsi"/>
          <w:lang w:val="en-US"/>
        </w:rPr>
        <w:t xml:space="preserve"> 87-92)</w:t>
      </w:r>
    </w:p>
    <w:p w:rsidR="007E4791" w:rsidRPr="00C71A51" w:rsidRDefault="007E4791" w:rsidP="007E4791">
      <w:pPr>
        <w:rPr>
          <w:sz w:val="24"/>
          <w:szCs w:val="24"/>
          <w:lang w:val="en-US"/>
        </w:rPr>
      </w:pPr>
    </w:p>
    <w:p w:rsidR="007E4791" w:rsidRPr="007E4791" w:rsidRDefault="007E4791" w:rsidP="007E4791">
      <w:pPr>
        <w:pStyle w:val="sum-title-1"/>
        <w:spacing w:before="103" w:beforeAutospacing="0" w:after="206" w:afterAutospacing="0"/>
        <w:jc w:val="center"/>
        <w:rPr>
          <w:rFonts w:asciiTheme="minorHAnsi" w:hAnsiTheme="minorHAnsi"/>
          <w:i/>
          <w:color w:val="000000"/>
        </w:rPr>
      </w:pPr>
      <w:r w:rsidRPr="007E4791">
        <w:rPr>
          <w:rStyle w:val="bold"/>
          <w:rFonts w:asciiTheme="minorHAnsi" w:hAnsiTheme="minorHAnsi"/>
          <w:b/>
          <w:bCs/>
          <w:i/>
          <w:color w:val="000000"/>
        </w:rPr>
        <w:t xml:space="preserve">Υπόθεση </w:t>
      </w:r>
      <w:r w:rsidRPr="007E4791">
        <w:rPr>
          <w:rStyle w:val="bold"/>
          <w:rFonts w:asciiTheme="minorHAnsi" w:hAnsiTheme="minorHAnsi"/>
          <w:b/>
          <w:bCs/>
          <w:i/>
          <w:color w:val="000000"/>
          <w:lang w:val="en-US"/>
        </w:rPr>
        <w:t>C</w:t>
      </w:r>
      <w:r w:rsidRPr="007E4791">
        <w:rPr>
          <w:rStyle w:val="bold"/>
          <w:rFonts w:asciiTheme="minorHAnsi" w:hAnsiTheme="minorHAnsi"/>
          <w:b/>
          <w:bCs/>
          <w:i/>
          <w:color w:val="000000"/>
        </w:rPr>
        <w:noBreakHyphen/>
        <w:t xml:space="preserve">67/14, </w:t>
      </w:r>
      <w:proofErr w:type="spellStart"/>
      <w:r w:rsidRPr="007E4791">
        <w:rPr>
          <w:rStyle w:val="bold"/>
          <w:rFonts w:asciiTheme="minorHAnsi" w:hAnsiTheme="minorHAnsi"/>
          <w:b/>
          <w:bCs/>
          <w:i/>
          <w:color w:val="000000"/>
          <w:lang w:val="en-US"/>
        </w:rPr>
        <w:t>Alimanovic</w:t>
      </w:r>
      <w:proofErr w:type="spellEnd"/>
      <w:r w:rsidRPr="007E4791">
        <w:rPr>
          <w:rStyle w:val="bold"/>
          <w:rFonts w:asciiTheme="minorHAnsi" w:hAnsiTheme="minorHAnsi"/>
          <w:b/>
          <w:bCs/>
          <w:i/>
          <w:color w:val="000000"/>
        </w:rPr>
        <w:t xml:space="preserve"> </w:t>
      </w:r>
    </w:p>
    <w:p w:rsidR="007E4791" w:rsidRPr="00C71A51" w:rsidRDefault="007E4791" w:rsidP="007E4791">
      <w:pPr>
        <w:pStyle w:val="index"/>
        <w:spacing w:before="103" w:beforeAutospacing="0" w:after="237" w:afterAutospacing="0"/>
        <w:jc w:val="center"/>
        <w:rPr>
          <w:rFonts w:asciiTheme="minorHAnsi" w:hAnsiTheme="minorHAnsi"/>
          <w:color w:val="000000"/>
        </w:rPr>
      </w:pPr>
      <w:r w:rsidRPr="00C71A51">
        <w:rPr>
          <w:rFonts w:asciiTheme="minorHAnsi" w:hAnsiTheme="minorHAnsi"/>
          <w:color w:val="000000"/>
        </w:rPr>
        <w:t>«Προδικαστική παραπομπή — Ελεύθερη κυκλοφορία των προσώπων — Ιθαγένεια της Ένωσης — Ίση μεταχείριση — Οδηγία 2004/38/ΕΚ — Άρθρο 24, παράγραφος 2 — Κοινωνικές παροχές — Κανονισμός (ΕΚ) 883/2004 — Άρθρα 4 και 70 — Ειδικές μη ανταποδοτικού τύπου παροχές σε χρήμα — Υπήκοοι κράτους μέλους που αναζητούν εργασία και διαμένουν στο έδαφος άλλου κράτους μέλους — Αποκλείονται — Διατήρηση της ιδιότητας του εργαζομένου»</w:t>
      </w:r>
    </w:p>
    <w:p w:rsidR="007E4791" w:rsidRPr="00C71A51" w:rsidRDefault="007E4791" w:rsidP="007E4791">
      <w:pPr>
        <w:pStyle w:val="sum-title-3"/>
        <w:spacing w:before="206" w:beforeAutospacing="0" w:after="103" w:afterAutospacing="0"/>
        <w:jc w:val="center"/>
        <w:rPr>
          <w:rFonts w:asciiTheme="minorHAnsi" w:hAnsiTheme="minorHAnsi"/>
          <w:color w:val="000000"/>
        </w:rPr>
      </w:pPr>
      <w:r w:rsidRPr="00C71A51">
        <w:rPr>
          <w:rFonts w:asciiTheme="minorHAnsi" w:hAnsiTheme="minorHAnsi"/>
          <w:color w:val="000000"/>
        </w:rPr>
        <w:t xml:space="preserve">Περίληψη </w:t>
      </w:r>
      <w:r w:rsidRPr="00C71A51">
        <w:rPr>
          <w:rFonts w:asciiTheme="minorHAnsi" w:hAnsiTheme="minorHAnsi"/>
          <w:color w:val="000000"/>
        </w:rPr>
        <w:noBreakHyphen/>
        <w:t xml:space="preserve"> Απόφαση του Δικαστηρίου (τμήμα μείζονος συνθέσεως) της 15ης Σεπτεμβρίου 2015</w:t>
      </w:r>
    </w:p>
    <w:p w:rsidR="007E4791" w:rsidRPr="00C71A51" w:rsidRDefault="007E4791" w:rsidP="007E4791">
      <w:pPr>
        <w:pStyle w:val="Web"/>
        <w:numPr>
          <w:ilvl w:val="0"/>
          <w:numId w:val="3"/>
        </w:numPr>
        <w:jc w:val="both"/>
        <w:rPr>
          <w:rFonts w:asciiTheme="minorHAnsi" w:hAnsiTheme="minorHAnsi"/>
          <w:i/>
          <w:iCs/>
          <w:color w:val="000000"/>
        </w:rPr>
      </w:pPr>
      <w:r w:rsidRPr="00C71A51">
        <w:rPr>
          <w:rFonts w:asciiTheme="minorHAnsi" w:hAnsiTheme="minorHAnsi"/>
          <w:i/>
          <w:iCs/>
          <w:color w:val="000000"/>
        </w:rPr>
        <w:t>Κοινωνική ασφάλιση – Διακινούμενοι εργαζόμενοι – Οδηγία 2004/38 – Κοινωνικές παροχές – Έννοια – Ειδικές μη ανταποδοτικού τύπου παροχές σε χρήμα κατά το άρθρο 70, παράγραφος 2, του κανονισμού 883/2004 – Εμπίπτουν</w:t>
      </w:r>
    </w:p>
    <w:p w:rsidR="007E4791" w:rsidRPr="00C71A51" w:rsidRDefault="007E4791" w:rsidP="007E4791">
      <w:pPr>
        <w:pStyle w:val="internal"/>
        <w:spacing w:before="0" w:beforeAutospacing="0"/>
        <w:ind w:left="720"/>
        <w:jc w:val="both"/>
        <w:rPr>
          <w:rFonts w:asciiTheme="minorHAnsi" w:hAnsiTheme="minorHAnsi"/>
          <w:i/>
          <w:iCs/>
          <w:color w:val="000000"/>
        </w:rPr>
      </w:pPr>
      <w:r w:rsidRPr="00C71A51">
        <w:rPr>
          <w:rFonts w:asciiTheme="minorHAnsi" w:hAnsiTheme="minorHAnsi"/>
          <w:i/>
          <w:iCs/>
          <w:color w:val="000000"/>
        </w:rPr>
        <w:t>(Κανονισμός 883/2004 του Ευρωπαϊκού Κοινοβουλίου και του Συμβουλίου, άρθρο 70 § 2· οδηγία 2004/38 του Ευρωπαϊκού Κοινοβουλίου και του Συμβουλίου, άρθρο 24 § 2)</w:t>
      </w:r>
    </w:p>
    <w:p w:rsidR="007E4791" w:rsidRPr="00C71A51" w:rsidRDefault="007E4791" w:rsidP="007E4791">
      <w:pPr>
        <w:pStyle w:val="Web"/>
        <w:numPr>
          <w:ilvl w:val="0"/>
          <w:numId w:val="3"/>
        </w:numPr>
        <w:jc w:val="both"/>
        <w:rPr>
          <w:rFonts w:asciiTheme="minorHAnsi" w:hAnsiTheme="minorHAnsi"/>
          <w:i/>
          <w:iCs/>
          <w:color w:val="000000"/>
        </w:rPr>
      </w:pPr>
      <w:r w:rsidRPr="00C71A51">
        <w:rPr>
          <w:rFonts w:asciiTheme="minorHAnsi" w:hAnsiTheme="minorHAnsi"/>
          <w:i/>
          <w:iCs/>
          <w:color w:val="000000"/>
        </w:rPr>
        <w:t>Ιθαγένεια της Ένωσης – Δικαίωμα ελεύθερης κυκλοφορίας και ελεύθερης διαμονής στο έδαφος των κρατών μελών – Οδηγία 2004/38 – Αρχή της ίσης μεταχειρίσεως – Υποχρέωση του κράτους μέλους υποδοχής να αναγνωρίζει δικαίωμα λήψεως κοινωνικών παροχών στους υπηκόους άλλων κρατών μελών που δεν ασκούν οικονομική δραστηριότητα – Προϋποθέσεις – Διαμονή στο έδαφος του κράτους μέλους υποδοχής η οποία πληροί τις προϋποθέσεις της οδηγίας</w:t>
      </w:r>
    </w:p>
    <w:p w:rsidR="007E4791" w:rsidRPr="00C71A51" w:rsidRDefault="007E4791" w:rsidP="007E4791">
      <w:pPr>
        <w:pStyle w:val="internal"/>
        <w:spacing w:before="0" w:beforeAutospacing="0"/>
        <w:ind w:left="720"/>
        <w:jc w:val="both"/>
        <w:rPr>
          <w:rFonts w:asciiTheme="minorHAnsi" w:hAnsiTheme="minorHAnsi"/>
          <w:i/>
          <w:iCs/>
          <w:color w:val="000000"/>
        </w:rPr>
      </w:pPr>
      <w:r w:rsidRPr="00C71A51">
        <w:rPr>
          <w:rFonts w:asciiTheme="minorHAnsi" w:hAnsiTheme="minorHAnsi"/>
          <w:i/>
          <w:iCs/>
          <w:color w:val="000000"/>
        </w:rPr>
        <w:t>(Οδηγία 2004/38 του Ευρωπαϊκού Κοινοβουλίου και του Συμβουλίου, αιτιολογική σκέψη 10 και άρθρο 24 § 1)</w:t>
      </w:r>
    </w:p>
    <w:p w:rsidR="007E4791" w:rsidRPr="00C71A51" w:rsidRDefault="007E4791" w:rsidP="007E4791">
      <w:pPr>
        <w:pStyle w:val="Web"/>
        <w:numPr>
          <w:ilvl w:val="0"/>
          <w:numId w:val="3"/>
        </w:numPr>
        <w:jc w:val="both"/>
        <w:rPr>
          <w:rFonts w:asciiTheme="minorHAnsi" w:hAnsiTheme="minorHAnsi"/>
          <w:i/>
          <w:iCs/>
          <w:color w:val="000000"/>
        </w:rPr>
      </w:pPr>
      <w:r w:rsidRPr="00C71A51">
        <w:rPr>
          <w:rFonts w:asciiTheme="minorHAnsi" w:hAnsiTheme="minorHAnsi"/>
          <w:i/>
          <w:iCs/>
          <w:color w:val="000000"/>
        </w:rPr>
        <w:t xml:space="preserve">Ιθαγένεια της Ένωσης – Δικαίωμα ελεύθερης κυκλοφορίας και ελεύθερης διαμονής στο έδαφος των κρατών μελών – Οδηγία 2004/38 – Αρχή της ίσης μεταχειρίσεως – Εθνική κανονιστική ρύθμιση η οποία εξαιρεί από ορισμένες </w:t>
      </w:r>
      <w:r w:rsidRPr="00C71A51">
        <w:rPr>
          <w:rFonts w:asciiTheme="minorHAnsi" w:hAnsiTheme="minorHAnsi"/>
          <w:i/>
          <w:iCs/>
          <w:color w:val="000000"/>
        </w:rPr>
        <w:lastRenderedPageBreak/>
        <w:t>ειδικές μη ανταποδοτικού τύπου παροχές σε χρήμα τους υπηκόους άλλων κρατών μελών που έχουν την ιδιότητα του προσώπου που αναζητεί εργασία – Παροχές οι οποίες χορηγούνται στους υπηκόους του κράτους μέλους υποδοχής που τελούν στην ίδια κατάσταση – Επιτρέπεται</w:t>
      </w:r>
    </w:p>
    <w:p w:rsidR="007E4791" w:rsidRPr="00C71A51" w:rsidRDefault="007E4791" w:rsidP="007E4791">
      <w:pPr>
        <w:pStyle w:val="internal"/>
        <w:spacing w:before="0" w:beforeAutospacing="0"/>
        <w:ind w:left="720"/>
        <w:jc w:val="both"/>
        <w:rPr>
          <w:rFonts w:asciiTheme="minorHAnsi" w:hAnsiTheme="minorHAnsi"/>
          <w:i/>
          <w:iCs/>
          <w:color w:val="000000"/>
        </w:rPr>
      </w:pPr>
      <w:r w:rsidRPr="00C71A51">
        <w:rPr>
          <w:rFonts w:asciiTheme="minorHAnsi" w:hAnsiTheme="minorHAnsi"/>
          <w:i/>
          <w:iCs/>
          <w:color w:val="000000"/>
        </w:rPr>
        <w:t>(Κανονισμός 883/2004 του Ευρωπαϊκού Κοινοβουλίου και του Συμβουλίου, άρθρα 4 και 70 § 2· οδηγία 2004/38 του Ευρωπαϊκού Κοινοβουλίου και του Συμβουλίου, άρθρα 14 §§ 1 και 4, στοιχείο </w:t>
      </w:r>
      <w:proofErr w:type="spellStart"/>
      <w:r w:rsidRPr="00C71A51">
        <w:rPr>
          <w:rFonts w:asciiTheme="minorHAnsi" w:hAnsiTheme="minorHAnsi"/>
          <w:i/>
          <w:iCs/>
          <w:color w:val="000000"/>
        </w:rPr>
        <w:t>βʹ</w:t>
      </w:r>
      <w:proofErr w:type="spellEnd"/>
      <w:r w:rsidRPr="00C71A51">
        <w:rPr>
          <w:rFonts w:asciiTheme="minorHAnsi" w:hAnsiTheme="minorHAnsi"/>
          <w:i/>
          <w:iCs/>
          <w:color w:val="000000"/>
        </w:rPr>
        <w:t>, και 24]</w:t>
      </w:r>
    </w:p>
    <w:p w:rsidR="007E4791" w:rsidRPr="00C71A51" w:rsidRDefault="007E4791" w:rsidP="007E4791">
      <w:pPr>
        <w:pStyle w:val="Web"/>
        <w:numPr>
          <w:ilvl w:val="0"/>
          <w:numId w:val="4"/>
        </w:numPr>
        <w:jc w:val="both"/>
        <w:rPr>
          <w:rFonts w:asciiTheme="minorHAnsi" w:hAnsiTheme="minorHAnsi"/>
          <w:color w:val="000000"/>
        </w:rPr>
      </w:pPr>
      <w:r w:rsidRPr="00C71A51">
        <w:rPr>
          <w:rFonts w:asciiTheme="minorHAnsi" w:hAnsiTheme="minorHAnsi"/>
          <w:color w:val="000000"/>
        </w:rPr>
        <w:t> Βλ. το κείμενο της αποφάσεως.</w:t>
      </w:r>
    </w:p>
    <w:p w:rsidR="007E4791" w:rsidRPr="00C71A51" w:rsidRDefault="007E4791" w:rsidP="007E4791">
      <w:pPr>
        <w:pStyle w:val="ref-abstract"/>
        <w:spacing w:before="63" w:beforeAutospacing="0" w:after="0" w:afterAutospacing="0"/>
        <w:ind w:left="720"/>
        <w:jc w:val="right"/>
        <w:rPr>
          <w:rFonts w:asciiTheme="minorHAnsi" w:hAnsiTheme="minorHAnsi"/>
          <w:color w:val="000000"/>
        </w:rPr>
      </w:pPr>
      <w:r w:rsidRPr="00C71A51">
        <w:rPr>
          <w:rFonts w:asciiTheme="minorHAnsi" w:hAnsiTheme="minorHAnsi"/>
          <w:color w:val="000000"/>
        </w:rPr>
        <w:t>(βλ. σκέψεις 43, 44)</w:t>
      </w:r>
    </w:p>
    <w:p w:rsidR="007E4791" w:rsidRPr="00C71A51" w:rsidRDefault="007E4791" w:rsidP="007E4791">
      <w:pPr>
        <w:pStyle w:val="Web"/>
        <w:numPr>
          <w:ilvl w:val="0"/>
          <w:numId w:val="4"/>
        </w:numPr>
        <w:jc w:val="both"/>
        <w:rPr>
          <w:rFonts w:asciiTheme="minorHAnsi" w:hAnsiTheme="minorHAnsi"/>
          <w:color w:val="000000"/>
        </w:rPr>
      </w:pPr>
      <w:r w:rsidRPr="00C71A51">
        <w:rPr>
          <w:rFonts w:asciiTheme="minorHAnsi" w:hAnsiTheme="minorHAnsi"/>
          <w:color w:val="000000"/>
        </w:rPr>
        <w:t> Βλ. το κείμενο της αποφάσεως.</w:t>
      </w:r>
    </w:p>
    <w:p w:rsidR="007E4791" w:rsidRPr="00C71A51" w:rsidRDefault="007E4791" w:rsidP="007E4791">
      <w:pPr>
        <w:pStyle w:val="ref-abstract"/>
        <w:spacing w:before="63" w:beforeAutospacing="0" w:after="0" w:afterAutospacing="0"/>
        <w:ind w:left="720"/>
        <w:jc w:val="right"/>
        <w:rPr>
          <w:rFonts w:asciiTheme="minorHAnsi" w:hAnsiTheme="minorHAnsi"/>
          <w:color w:val="000000"/>
        </w:rPr>
      </w:pPr>
      <w:r w:rsidRPr="00C71A51">
        <w:rPr>
          <w:rFonts w:asciiTheme="minorHAnsi" w:hAnsiTheme="minorHAnsi"/>
          <w:color w:val="000000"/>
        </w:rPr>
        <w:t>(βλ. σκέψεις 49, 50)</w:t>
      </w:r>
    </w:p>
    <w:p w:rsidR="007E4791" w:rsidRPr="00C71A51" w:rsidRDefault="007E4791" w:rsidP="007E4791">
      <w:pPr>
        <w:pStyle w:val="Web"/>
        <w:numPr>
          <w:ilvl w:val="0"/>
          <w:numId w:val="4"/>
        </w:numPr>
        <w:jc w:val="both"/>
        <w:rPr>
          <w:rFonts w:asciiTheme="minorHAnsi" w:hAnsiTheme="minorHAnsi"/>
          <w:color w:val="000000"/>
        </w:rPr>
      </w:pPr>
      <w:r w:rsidRPr="00C71A51">
        <w:rPr>
          <w:rFonts w:asciiTheme="minorHAnsi" w:hAnsiTheme="minorHAnsi"/>
          <w:color w:val="000000"/>
        </w:rPr>
        <w:t> Το άρθρο 24 της οδηγίας 2004/38,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και το άρθρο 4 του κανονισμού 883/2004, για το συντονισμό των συστημάτων κοινωνικής ασφάλειας, όπως τροποποιήθηκε με τον κανονισμό 1244/2010, έχουν την έννοια ότι δεν αντιτίθενται σε κανονιστική ρύθμιση κράτους μέλους δυνάμει της οποίας οι πολίτες που τελούν στην κατάσταση που προβλέπει το άρθρο 14, παράγραφος 4, στοιχείο </w:t>
      </w:r>
      <w:proofErr w:type="spellStart"/>
      <w:r w:rsidRPr="00C71A51">
        <w:rPr>
          <w:rFonts w:asciiTheme="minorHAnsi" w:hAnsiTheme="minorHAnsi"/>
          <w:color w:val="000000"/>
        </w:rPr>
        <w:t>βʹ</w:t>
      </w:r>
      <w:proofErr w:type="spellEnd"/>
      <w:r w:rsidRPr="00C71A51">
        <w:rPr>
          <w:rFonts w:asciiTheme="minorHAnsi" w:hAnsiTheme="minorHAnsi"/>
          <w:color w:val="000000"/>
        </w:rPr>
        <w:t>, της οδηγίας 2004/38 αποκλείονται από τη χορήγηση ορισμένων ειδικών μη ανταποδοτικού τύπου παροχών σε χρήμα κατά την έννοια του άρθρου 70, παράγραφος 2, του κανονισμού 883/2004 οι οποίες αποτελούν επίσης κοινωνική παροχή κατά την έννοια του άρθρου 24, παράγραφος 2, της εν λόγω οδηγίας, μολονότι οι παροχές αυτές χορηγούνται στους πολίτες του ως άνω κράτους μέλους οι οποίοι τελούν στην ίδια κατάσταση.</w:t>
      </w:r>
    </w:p>
    <w:p w:rsidR="007E4791" w:rsidRPr="00C71A51" w:rsidRDefault="007E4791" w:rsidP="007E4791">
      <w:pPr>
        <w:pStyle w:val="normal"/>
        <w:spacing w:before="63" w:beforeAutospacing="0" w:after="0" w:afterAutospacing="0"/>
        <w:ind w:left="720"/>
        <w:jc w:val="both"/>
        <w:rPr>
          <w:rFonts w:asciiTheme="minorHAnsi" w:hAnsiTheme="minorHAnsi"/>
          <w:color w:val="000000"/>
        </w:rPr>
      </w:pPr>
      <w:r w:rsidRPr="00C71A51">
        <w:rPr>
          <w:rFonts w:asciiTheme="minorHAnsi" w:hAnsiTheme="minorHAnsi"/>
          <w:color w:val="000000"/>
        </w:rPr>
        <w:t>Ειδικότερα, προκύπτει ρητώς από την παραπομπή που γίνεται από το άρθρο 24, παράγραφος 2, της οδηγίας 2004/38 στο άρθρο 14, παράγραφος 4, στοιχείο </w:t>
      </w:r>
      <w:proofErr w:type="spellStart"/>
      <w:r w:rsidRPr="00C71A51">
        <w:rPr>
          <w:rFonts w:asciiTheme="minorHAnsi" w:hAnsiTheme="minorHAnsi"/>
          <w:color w:val="000000"/>
        </w:rPr>
        <w:t>βʹ</w:t>
      </w:r>
      <w:proofErr w:type="spellEnd"/>
      <w:r w:rsidRPr="00C71A51">
        <w:rPr>
          <w:rFonts w:asciiTheme="minorHAnsi" w:hAnsiTheme="minorHAnsi"/>
          <w:color w:val="000000"/>
        </w:rPr>
        <w:t>, της ίδιας οδηγίας ότι το κράτος μέλος υποδοχής μπορεί να αρνηθεί επί τη βάσει της δεύτερης διατάξεως και μόνο τη χορήγηση οποιασδήποτε κοινωνικής παροχής σε πολίτη της Ένωσης που έχει δικαίωμα διαμονής.</w:t>
      </w:r>
    </w:p>
    <w:p w:rsidR="007E4791" w:rsidRPr="00C71A51" w:rsidRDefault="007E4791" w:rsidP="007E4791">
      <w:pPr>
        <w:pStyle w:val="normal"/>
        <w:spacing w:before="63" w:beforeAutospacing="0" w:after="0" w:afterAutospacing="0"/>
        <w:ind w:left="720"/>
        <w:jc w:val="both"/>
        <w:rPr>
          <w:rFonts w:asciiTheme="minorHAnsi" w:hAnsiTheme="minorHAnsi"/>
          <w:color w:val="000000"/>
        </w:rPr>
      </w:pPr>
      <w:r w:rsidRPr="00C71A51">
        <w:rPr>
          <w:rFonts w:asciiTheme="minorHAnsi" w:hAnsiTheme="minorHAnsi"/>
          <w:color w:val="000000"/>
        </w:rPr>
        <w:t xml:space="preserve">Μολονότι η οδηγία 2004/38 επιτάσσει την εκ μέρους του κράτους μέλους συνεκτίμηση της ατομικής καταστάσεως του ενδιαφερομένου όταν πρόκειται να εκδώσει μέτρο απελάσεως ή να διαπιστώσει αν το πρόσωπο αυτό αποτελεί υπέρμετρο βάρος για το σύστημα κοινωνικής πρόνοιας του κράτους μέλους υποδοχής στο πλαίσιο της διαμονής του, εντούτοις η εξατομικευμένη αυτή εξέταση δεν επιβάλλεται σε περίπτωση πολίτη που εισήλθε στο έδαφος του κράτους μέλους υποδοχής προκειμένου να αναζητήσει εργασία, δεδομένου ότι η οδηγία 2004/38, που προβλέπει σύστημα με πλείονες βαθμίδες για τη διατήρηση της ιδιότητας του </w:t>
      </w:r>
      <w:r w:rsidRPr="00C71A51">
        <w:rPr>
          <w:rFonts w:asciiTheme="minorHAnsi" w:hAnsiTheme="minorHAnsi"/>
          <w:color w:val="000000"/>
        </w:rPr>
        <w:lastRenderedPageBreak/>
        <w:t>εργαζομένου, το οποίο σκοπό έχει να διασφαλίσει το δικαίωμα διαμονής και την πρόσβαση στις κοινωνικές παροχές, λαμβάνει η ίδια υπόψη διάφορα στοιχεία που χαρακτηρίζουν την ατομική κατάσταση κάθε προσώπου που ζητεί τη χορήγηση κοινωνικής παροχής και, ιδίως, τη διάρκεια της ασκήσεως οικονομικής δραστηριότητας.</w:t>
      </w:r>
    </w:p>
    <w:p w:rsidR="007E4791" w:rsidRPr="00C71A51" w:rsidRDefault="007E4791" w:rsidP="007E4791">
      <w:pPr>
        <w:pStyle w:val="normal"/>
        <w:spacing w:before="63" w:beforeAutospacing="0" w:after="0" w:afterAutospacing="0"/>
        <w:ind w:left="720"/>
        <w:jc w:val="both"/>
        <w:rPr>
          <w:rFonts w:asciiTheme="minorHAnsi" w:hAnsiTheme="minorHAnsi"/>
          <w:color w:val="000000"/>
        </w:rPr>
      </w:pPr>
      <w:r w:rsidRPr="00C71A51">
        <w:rPr>
          <w:rFonts w:asciiTheme="minorHAnsi" w:hAnsiTheme="minorHAnsi"/>
          <w:color w:val="000000"/>
        </w:rPr>
        <w:t>Επιπλέον, στο πλαίσιο της εξατομικευμένης εξετάσεως με σκοπό τη συνολική εκτίμηση της επιβαρύνσεως που θα αντιπροσώπευε συγκεκριμένα η χορήγηση της παροχής για ολόκληρο το εθνικό σύστημα κοινωνικής πρόνοιας, η παροχή που χορηγείται σε έναν και μόνο αιτούντα δυσχερώς μπορεί να χαρακτηριστεί ως υπέρμετρο βάρος για ένα κράτος μέλος, κατά την έννοια του άρθρου 14, παράγραφος 1, της οδηγίας 2004/38, το οποίο θα μπορούσε να επιβαρύνει το συγκεκριμένο κράτος μέλος όχι κατόπιν της υποβολής μεμονωμένης αιτήσεως, αλλά κατ’ ανάγκην μετά από τη σώρευση όλων των μεμονωμένων αιτήσεων που θα του υποβληθούν.</w:t>
      </w:r>
    </w:p>
    <w:p w:rsidR="007E4791" w:rsidRPr="00C71A51" w:rsidRDefault="007E4791" w:rsidP="007E4791">
      <w:pPr>
        <w:pStyle w:val="ref-abstract"/>
        <w:spacing w:before="63" w:beforeAutospacing="0" w:after="0" w:afterAutospacing="0"/>
        <w:ind w:left="720"/>
        <w:jc w:val="right"/>
        <w:rPr>
          <w:rFonts w:asciiTheme="minorHAnsi" w:hAnsiTheme="minorHAnsi"/>
          <w:color w:val="000000"/>
        </w:rPr>
      </w:pPr>
      <w:r w:rsidRPr="00C71A51">
        <w:rPr>
          <w:rFonts w:asciiTheme="minorHAnsi" w:hAnsiTheme="minorHAnsi"/>
          <w:color w:val="000000"/>
        </w:rPr>
        <w:t xml:space="preserve">(βλ. σκέψεις 58-60, 62, 63 και </w:t>
      </w:r>
      <w:proofErr w:type="spellStart"/>
      <w:r w:rsidRPr="00C71A51">
        <w:rPr>
          <w:rFonts w:asciiTheme="minorHAnsi" w:hAnsiTheme="minorHAnsi"/>
          <w:color w:val="000000"/>
        </w:rPr>
        <w:t>διατακτ</w:t>
      </w:r>
      <w:proofErr w:type="spellEnd"/>
      <w:r w:rsidRPr="00C71A51">
        <w:rPr>
          <w:rFonts w:asciiTheme="minorHAnsi" w:hAnsiTheme="minorHAnsi"/>
          <w:color w:val="000000"/>
        </w:rPr>
        <w:t>.)</w:t>
      </w:r>
    </w:p>
    <w:p w:rsidR="007E4791" w:rsidRPr="00C71A51" w:rsidRDefault="007E4791" w:rsidP="007E4791">
      <w:pPr>
        <w:rPr>
          <w:sz w:val="24"/>
          <w:szCs w:val="24"/>
        </w:rPr>
      </w:pPr>
    </w:p>
    <w:p w:rsidR="007E4791" w:rsidRPr="007E4791" w:rsidRDefault="007E4791" w:rsidP="007E4791">
      <w:pPr>
        <w:pStyle w:val="s73alineacentregras"/>
        <w:shd w:val="clear" w:color="auto" w:fill="FFFFFF"/>
        <w:spacing w:before="0" w:beforeAutospacing="0" w:after="240" w:afterAutospacing="0"/>
        <w:ind w:left="567"/>
        <w:jc w:val="center"/>
        <w:rPr>
          <w:rFonts w:ascii="Arial" w:hAnsi="Arial" w:cs="Arial"/>
          <w:b/>
          <w:bCs/>
          <w:i/>
          <w:color w:val="444444"/>
          <w:sz w:val="22"/>
          <w:szCs w:val="22"/>
        </w:rPr>
      </w:pPr>
      <w:r w:rsidRPr="007E4791">
        <w:rPr>
          <w:rFonts w:ascii="Arial" w:hAnsi="Arial" w:cs="Arial"/>
          <w:b/>
          <w:bCs/>
          <w:i/>
          <w:color w:val="444444"/>
          <w:sz w:val="22"/>
          <w:szCs w:val="22"/>
        </w:rPr>
        <w:t xml:space="preserve">Υπόθεση C-135/08, </w:t>
      </w:r>
      <w:proofErr w:type="spellStart"/>
      <w:r w:rsidRPr="007E4791">
        <w:rPr>
          <w:rFonts w:ascii="Arial" w:hAnsi="Arial" w:cs="Arial"/>
          <w:b/>
          <w:bCs/>
          <w:i/>
          <w:color w:val="444444"/>
          <w:sz w:val="22"/>
          <w:szCs w:val="22"/>
        </w:rPr>
        <w:t>Rottman</w:t>
      </w:r>
      <w:proofErr w:type="spellEnd"/>
    </w:p>
    <w:p w:rsidR="007E4791" w:rsidRDefault="007E4791" w:rsidP="007E4791">
      <w:pPr>
        <w:pStyle w:val="s71indicateur"/>
        <w:shd w:val="clear" w:color="auto" w:fill="FFFFFF"/>
        <w:spacing w:before="600" w:beforeAutospacing="0" w:after="560" w:afterAutospacing="0"/>
        <w:ind w:left="567"/>
        <w:jc w:val="both"/>
        <w:rPr>
          <w:rFonts w:ascii="Arial" w:hAnsi="Arial" w:cs="Arial"/>
          <w:color w:val="444444"/>
          <w:sz w:val="22"/>
          <w:szCs w:val="22"/>
        </w:rPr>
      </w:pPr>
      <w:r>
        <w:rPr>
          <w:rFonts w:ascii="Arial" w:hAnsi="Arial" w:cs="Arial"/>
          <w:color w:val="444444"/>
          <w:sz w:val="22"/>
          <w:szCs w:val="22"/>
        </w:rPr>
        <w:t xml:space="preserve"> «Ιθαγένεια της Ευρωπαϊκής Ένωσης – Άρθρο 17 ΕΚ – Κτήση της ιθαγένειας κράτους μέλους με τη γέννηση – Κτήση της ιθαγένειας άλλου κράτους μέλους με πολιτογράφηση – Απώλεια της αρχικής ιθαγένειας λόγω της πολιτογράφησης αυτής – Αναδρομική απώλεια της ιθαγένειας που αποκτήθηκε κατόπιν πολιτογράφησης λόγω της απάτης χάρη στην οποία επιτεύχθηκε η πολιτογράφηση – </w:t>
      </w:r>
      <w:proofErr w:type="spellStart"/>
      <w:r>
        <w:rPr>
          <w:rFonts w:ascii="Arial" w:hAnsi="Arial" w:cs="Arial"/>
          <w:color w:val="444444"/>
          <w:sz w:val="22"/>
          <w:szCs w:val="22"/>
        </w:rPr>
        <w:t>Ανιθαγένεια</w:t>
      </w:r>
      <w:proofErr w:type="spellEnd"/>
      <w:r>
        <w:rPr>
          <w:rFonts w:ascii="Arial" w:hAnsi="Arial" w:cs="Arial"/>
          <w:color w:val="444444"/>
          <w:sz w:val="22"/>
          <w:szCs w:val="22"/>
        </w:rPr>
        <w:t xml:space="preserve"> που συνεπάγεται την απώλεια της ιδιότητας του πολίτη της Ευρωπαϊκής Ένωσης»</w:t>
      </w:r>
    </w:p>
    <w:p w:rsidR="007E4791" w:rsidRDefault="007E4791" w:rsidP="007E4791">
      <w:pPr>
        <w:pStyle w:val="s40titre"/>
        <w:shd w:val="clear" w:color="auto" w:fill="FFFFFF"/>
        <w:spacing w:before="0" w:beforeAutospacing="0" w:after="0" w:afterAutospacing="0"/>
        <w:ind w:left="567"/>
        <w:jc w:val="center"/>
        <w:rPr>
          <w:rFonts w:ascii="Arial" w:hAnsi="Arial" w:cs="Arial"/>
          <w:color w:val="444444"/>
          <w:sz w:val="22"/>
          <w:szCs w:val="22"/>
        </w:rPr>
      </w:pPr>
      <w:r>
        <w:rPr>
          <w:rFonts w:ascii="Arial" w:hAnsi="Arial" w:cs="Arial"/>
          <w:color w:val="444444"/>
          <w:sz w:val="22"/>
          <w:szCs w:val="22"/>
        </w:rPr>
        <w:t>Περίληψη της αποφάσεως</w:t>
      </w:r>
    </w:p>
    <w:p w:rsidR="007E4791" w:rsidRDefault="007E4791" w:rsidP="007E4791">
      <w:pPr>
        <w:pStyle w:val="s35motclenumerote"/>
        <w:shd w:val="clear" w:color="auto" w:fill="FFFFFF"/>
        <w:spacing w:before="0" w:beforeAutospacing="0" w:after="79" w:afterAutospacing="0"/>
        <w:ind w:left="1247" w:hanging="680"/>
        <w:rPr>
          <w:rFonts w:ascii="Arial" w:hAnsi="Arial" w:cs="Arial"/>
          <w:color w:val="444444"/>
          <w:sz w:val="22"/>
          <w:szCs w:val="22"/>
        </w:rPr>
      </w:pPr>
      <w:r>
        <w:rPr>
          <w:rFonts w:ascii="Arial" w:hAnsi="Arial" w:cs="Arial"/>
          <w:color w:val="444444"/>
          <w:sz w:val="22"/>
          <w:szCs w:val="22"/>
        </w:rPr>
        <w:t>1.        </w:t>
      </w:r>
      <w:r>
        <w:rPr>
          <w:rFonts w:ascii="Arial" w:hAnsi="Arial" w:cs="Arial"/>
          <w:i/>
          <w:iCs/>
          <w:color w:val="444444"/>
          <w:sz w:val="22"/>
          <w:szCs w:val="22"/>
        </w:rPr>
        <w:t>Ιθαγένεια της Ευρωπαϊκής Ένωσης – Διατάξεις της Συνθήκης – Προσωπικό πεδίο εφαρμογής</w:t>
      </w:r>
    </w:p>
    <w:p w:rsidR="007E4791" w:rsidRDefault="007E4791" w:rsidP="007E4791">
      <w:pPr>
        <w:pStyle w:val="s37motclefinretrait1"/>
        <w:shd w:val="clear" w:color="auto" w:fill="FFFFFF"/>
        <w:spacing w:before="0" w:beforeAutospacing="0" w:after="240" w:afterAutospacing="0"/>
        <w:ind w:left="1192"/>
        <w:rPr>
          <w:rFonts w:ascii="Arial" w:hAnsi="Arial" w:cs="Arial"/>
          <w:color w:val="444444"/>
          <w:sz w:val="22"/>
          <w:szCs w:val="22"/>
        </w:rPr>
      </w:pPr>
      <w:r>
        <w:rPr>
          <w:rFonts w:ascii="Arial" w:hAnsi="Arial" w:cs="Arial"/>
          <w:i/>
          <w:iCs/>
          <w:color w:val="444444"/>
          <w:sz w:val="22"/>
          <w:szCs w:val="22"/>
        </w:rPr>
        <w:t>(Άρθρο 17 ΕΚ)</w:t>
      </w:r>
    </w:p>
    <w:p w:rsidR="007E4791" w:rsidRDefault="007E4791" w:rsidP="007E4791">
      <w:pPr>
        <w:pStyle w:val="s35motclenumerote"/>
        <w:shd w:val="clear" w:color="auto" w:fill="FFFFFF"/>
        <w:spacing w:before="0" w:beforeAutospacing="0" w:after="79" w:afterAutospacing="0"/>
        <w:ind w:left="1247" w:hanging="680"/>
        <w:rPr>
          <w:rFonts w:ascii="Arial" w:hAnsi="Arial" w:cs="Arial"/>
          <w:color w:val="444444"/>
          <w:sz w:val="22"/>
          <w:szCs w:val="22"/>
        </w:rPr>
      </w:pPr>
      <w:r>
        <w:rPr>
          <w:rFonts w:ascii="Arial" w:hAnsi="Arial" w:cs="Arial"/>
          <w:color w:val="444444"/>
          <w:sz w:val="22"/>
          <w:szCs w:val="22"/>
        </w:rPr>
        <w:t>2.        </w:t>
      </w:r>
      <w:r>
        <w:rPr>
          <w:rFonts w:ascii="Arial" w:hAnsi="Arial" w:cs="Arial"/>
          <w:i/>
          <w:iCs/>
          <w:color w:val="444444"/>
          <w:sz w:val="22"/>
          <w:szCs w:val="22"/>
        </w:rPr>
        <w:t>Ιθαγένεια της Ευρωπαϊκής Ένωσης – Διατάξεις της Συνθήκης – Ιθαγένεια κράτους μέλους</w:t>
      </w:r>
    </w:p>
    <w:p w:rsidR="007E4791" w:rsidRDefault="007E4791" w:rsidP="007E4791">
      <w:pPr>
        <w:pStyle w:val="s37motclefinretrait1"/>
        <w:shd w:val="clear" w:color="auto" w:fill="FFFFFF"/>
        <w:spacing w:before="0" w:beforeAutospacing="0" w:after="240" w:afterAutospacing="0"/>
        <w:ind w:left="1192"/>
        <w:rPr>
          <w:rFonts w:ascii="Arial" w:hAnsi="Arial" w:cs="Arial"/>
          <w:color w:val="444444"/>
          <w:sz w:val="22"/>
          <w:szCs w:val="22"/>
        </w:rPr>
      </w:pPr>
      <w:r>
        <w:rPr>
          <w:rFonts w:ascii="Arial" w:hAnsi="Arial" w:cs="Arial"/>
          <w:i/>
          <w:iCs/>
          <w:color w:val="444444"/>
          <w:sz w:val="22"/>
          <w:szCs w:val="22"/>
        </w:rPr>
        <w:t>(Άρθρο 17 ΕΚ)</w:t>
      </w:r>
    </w:p>
    <w:p w:rsidR="007E4791" w:rsidRDefault="007E4791" w:rsidP="007E4791">
      <w:pPr>
        <w:pStyle w:val="s01pointaltn"/>
        <w:shd w:val="clear" w:color="auto" w:fill="FFFFFF"/>
        <w:spacing w:before="240" w:beforeAutospacing="0" w:after="240" w:afterAutospacing="0"/>
        <w:ind w:left="1247" w:hanging="680"/>
        <w:jc w:val="both"/>
        <w:rPr>
          <w:rFonts w:ascii="Arial" w:hAnsi="Arial" w:cs="Arial"/>
          <w:color w:val="444444"/>
          <w:sz w:val="22"/>
          <w:szCs w:val="22"/>
        </w:rPr>
      </w:pPr>
      <w:bookmarkStart w:id="1" w:name="point1"/>
      <w:r>
        <w:rPr>
          <w:rFonts w:ascii="Arial" w:hAnsi="Arial" w:cs="Arial"/>
          <w:color w:val="3366CC"/>
          <w:sz w:val="22"/>
          <w:szCs w:val="22"/>
        </w:rPr>
        <w:t>1.</w:t>
      </w:r>
      <w:bookmarkEnd w:id="1"/>
      <w:r>
        <w:rPr>
          <w:rFonts w:ascii="Arial" w:hAnsi="Arial" w:cs="Arial"/>
          <w:color w:val="444444"/>
          <w:sz w:val="22"/>
          <w:szCs w:val="22"/>
        </w:rPr>
        <w:t>        Η περίπτωση του πολίτη της Ευρωπαϊκής Ένωσης που αντιμετωπίζει μια απόφαση ανάκλησης της πολιτογράφησής του, την οποία έχουν εκδώσει οι αρχές κράτους μέλους και λόγω της οποίας περιέρχεται, αφού έχει απολέσει την ιθαγένεια άλλου κράτους μέλους την οποία είχε αρχικά, σε κατάσταση που είναι δυνατόν να έχει ως αποτέλεσμα την απώλεια της ιδιότητας που του απονέμει το άρθρο 17 ΕΚ και των συνακόλουθων δικαιωμάτων, εμπίπτει στο δίκαιο της Ένωσης εξ ορισμού και λόγω των συνεπειών της</w:t>
      </w:r>
    </w:p>
    <w:p w:rsidR="007E4791" w:rsidRDefault="007E4791" w:rsidP="007E4791">
      <w:pPr>
        <w:pStyle w:val="s36renvoi"/>
        <w:shd w:val="clear" w:color="auto" w:fill="FFFFFF"/>
        <w:spacing w:before="0" w:beforeAutospacing="0" w:after="0" w:afterAutospacing="0"/>
        <w:ind w:left="567"/>
        <w:jc w:val="right"/>
        <w:rPr>
          <w:rFonts w:ascii="Arial" w:hAnsi="Arial" w:cs="Arial"/>
          <w:color w:val="444444"/>
          <w:sz w:val="19"/>
          <w:szCs w:val="19"/>
        </w:rPr>
      </w:pPr>
      <w:r>
        <w:rPr>
          <w:rFonts w:ascii="Arial" w:hAnsi="Arial" w:cs="Arial"/>
          <w:color w:val="444444"/>
          <w:sz w:val="19"/>
          <w:szCs w:val="19"/>
        </w:rPr>
        <w:t>(βλ. σκέψη 42)</w:t>
      </w:r>
    </w:p>
    <w:p w:rsidR="007E4791" w:rsidRDefault="007E4791" w:rsidP="007E4791">
      <w:pPr>
        <w:pStyle w:val="s01pointaltn"/>
        <w:shd w:val="clear" w:color="auto" w:fill="FFFFFF"/>
        <w:spacing w:before="240" w:beforeAutospacing="0" w:after="240" w:afterAutospacing="0"/>
        <w:ind w:left="1247" w:hanging="680"/>
        <w:jc w:val="both"/>
        <w:rPr>
          <w:rFonts w:ascii="Arial" w:hAnsi="Arial" w:cs="Arial"/>
          <w:color w:val="444444"/>
          <w:sz w:val="22"/>
          <w:szCs w:val="22"/>
        </w:rPr>
      </w:pPr>
      <w:bookmarkStart w:id="2" w:name="point2"/>
      <w:r>
        <w:rPr>
          <w:rFonts w:ascii="Arial" w:hAnsi="Arial" w:cs="Arial"/>
          <w:color w:val="3366CC"/>
          <w:sz w:val="22"/>
          <w:szCs w:val="22"/>
        </w:rPr>
        <w:t>2.</w:t>
      </w:r>
      <w:bookmarkEnd w:id="2"/>
      <w:r>
        <w:rPr>
          <w:rFonts w:ascii="Arial" w:hAnsi="Arial" w:cs="Arial"/>
          <w:color w:val="444444"/>
          <w:sz w:val="22"/>
          <w:szCs w:val="22"/>
        </w:rPr>
        <w:t xml:space="preserve">        Το δίκαιο της Ευρωπαϊκής Ένωσης, και ειδικότερα το άρθρο 17 ΕΚ, δεν απαγορεύει σε ένα κράτος μέλος να ανακαλεί την πράξη απονομής της </w:t>
      </w:r>
      <w:r>
        <w:rPr>
          <w:rFonts w:ascii="Arial" w:hAnsi="Arial" w:cs="Arial"/>
          <w:color w:val="444444"/>
          <w:sz w:val="22"/>
          <w:szCs w:val="22"/>
        </w:rPr>
        <w:lastRenderedPageBreak/>
        <w:t>ιθαγένειάς του σε πολίτη της Ευρωπαϊκής Ένωσης, ιθαγένειας την οποία απέκτησε κατόπιν πολιτογράφησης ο ενδιαφερόμενος χάρη σε απάτη, υπό την προϋπόθεση ότι αυτή η απόφαση ανάκλησης είναι σύμφωνη με την αρχή της αναλογικότητας.</w:t>
      </w:r>
    </w:p>
    <w:p w:rsidR="007E4791" w:rsidRDefault="007E4791" w:rsidP="007E4791">
      <w:pPr>
        <w:pStyle w:val="s19marge1"/>
        <w:shd w:val="clear" w:color="auto" w:fill="FFFFFF"/>
        <w:spacing w:before="0" w:beforeAutospacing="0" w:after="240" w:afterAutospacing="0"/>
        <w:ind w:left="1247"/>
        <w:jc w:val="both"/>
        <w:rPr>
          <w:rFonts w:ascii="Arial" w:hAnsi="Arial" w:cs="Arial"/>
          <w:color w:val="444444"/>
          <w:sz w:val="22"/>
          <w:szCs w:val="22"/>
        </w:rPr>
      </w:pPr>
      <w:r>
        <w:rPr>
          <w:rFonts w:ascii="Arial" w:hAnsi="Arial" w:cs="Arial"/>
          <w:color w:val="444444"/>
          <w:sz w:val="22"/>
          <w:szCs w:val="22"/>
        </w:rPr>
        <w:t>Συγκεκριμένα, η απόφαση για ανάκληση της πολιτογράφησης λόγω τέλεσης απάτης στηρίζεται σε λόγο αναγόμενο στο γενικό συμφέρον. Είναι συναφώς θεμιτό να θέλει το κράτος μέλος να προστατεύσει αφενός την ιδιαίτερη σχέση αλληλεγγύης και πίστης που υπάρχει μεταξύ του κράτους και των υπηκόων του και αφετέρου την αμοιβαιότητα δικαιωμάτων και υποχρεώσεων που αποτελούν το θεμέλιο του δεσμού της ιθαγένειας. Η αντίληψη αυτή σχετικά με την καταρχήν νομιμότητα μιας απόφασης ανάκλησης της πολιτογράφησης λόγω απατηλών ενεργειών του ενδιαφερόμενου ισχύει καταρχήν και στην περίπτωση που η συνέπεια της ανάκλησης αυτής είναι να χάνει ο ενδιαφερόμενος όχι μόνο την ιθαγένεια του κράτους μέλους που τον είχε πολιτογραφήσει, αλλά και την ιθαγένεια της Ένωσης.</w:t>
      </w:r>
    </w:p>
    <w:p w:rsidR="007E4791" w:rsidRDefault="007E4791" w:rsidP="007E4791">
      <w:pPr>
        <w:pStyle w:val="s19marge1"/>
        <w:shd w:val="clear" w:color="auto" w:fill="FFFFFF"/>
        <w:spacing w:before="0" w:beforeAutospacing="0" w:after="240" w:afterAutospacing="0"/>
        <w:ind w:left="1247"/>
        <w:jc w:val="both"/>
        <w:rPr>
          <w:rFonts w:ascii="Arial" w:hAnsi="Arial" w:cs="Arial"/>
          <w:color w:val="444444"/>
          <w:sz w:val="22"/>
          <w:szCs w:val="22"/>
        </w:rPr>
      </w:pPr>
      <w:r>
        <w:rPr>
          <w:rFonts w:ascii="Arial" w:hAnsi="Arial" w:cs="Arial"/>
          <w:color w:val="444444"/>
          <w:sz w:val="22"/>
          <w:szCs w:val="22"/>
        </w:rPr>
        <w:t xml:space="preserve">Εντούτοις, εναπόκειται στο εθνικό δικαστήριο να εξακριβώσει κατά πόσον η απόφαση ανάκλησης τηρεί την αρχή της αναλογικότητας, όσον αφορά τις συνέπειές της για τον ενδιαφερόμενο από την άποψη του δικαίου της Ένωσης, πέρα από την ενδεχομένως αναγκαία εξέταση της αναλογικότητας της απόφασης αυτής από την άποψη του εθνικού δικαίου. Κατά συνέπεια, με δεδομένη τη σημασία που προσδίδει το πρωτογενές δίκαιο στην ιδιότητα του πολίτη της Ένωσης, πρέπει, κατά την εξέταση των </w:t>
      </w:r>
      <w:proofErr w:type="spellStart"/>
      <w:r>
        <w:rPr>
          <w:rFonts w:ascii="Arial" w:hAnsi="Arial" w:cs="Arial"/>
          <w:color w:val="444444"/>
          <w:sz w:val="22"/>
          <w:szCs w:val="22"/>
        </w:rPr>
        <w:t>απoφάσεων</w:t>
      </w:r>
      <w:proofErr w:type="spellEnd"/>
      <w:r>
        <w:rPr>
          <w:rFonts w:ascii="Arial" w:hAnsi="Arial" w:cs="Arial"/>
          <w:color w:val="444444"/>
          <w:sz w:val="22"/>
          <w:szCs w:val="22"/>
        </w:rPr>
        <w:t xml:space="preserve"> ανάκλησης της πολιτογράφησης, να λαμβάνονται υπόψη οι συνέπειες που έχει ενδεχομένως η οικεία απόφαση για τον ενδιαφερόμενο και για τα μέλη της οικογένειάς του, όσον αφορά την απώλεια των δικαιωμάτων που απονέμονται σε κάθε πολίτη της Ένωσης, και να εξακριβώνεται, μεταξύ άλλων, αν η απώλεια αυτή είναι δικαιολογημένη σε σχέση με τη βαρύτητα της παράβασης που έχει τελέσει ο ενδιαφερόμενος, με τον χρόνο που έχει παρέλθει μεταξύ της απόφασης πολιτογράφησης και της απόφασης ανάκλησής της και με τη δυνατότητά του να ανακτήσει την αρχική του ιθαγένεια.</w:t>
      </w:r>
    </w:p>
    <w:p w:rsidR="007E4791" w:rsidRDefault="007E4791" w:rsidP="007E4791">
      <w:pPr>
        <w:pStyle w:val="s36renvoi"/>
        <w:shd w:val="clear" w:color="auto" w:fill="FFFFFF"/>
        <w:spacing w:before="0" w:beforeAutospacing="0" w:after="0" w:afterAutospacing="0"/>
        <w:ind w:left="567"/>
        <w:jc w:val="right"/>
        <w:rPr>
          <w:rFonts w:ascii="Arial" w:hAnsi="Arial" w:cs="Arial"/>
          <w:color w:val="444444"/>
          <w:sz w:val="19"/>
          <w:szCs w:val="19"/>
        </w:rPr>
      </w:pPr>
      <w:r>
        <w:rPr>
          <w:rFonts w:ascii="Arial" w:hAnsi="Arial" w:cs="Arial"/>
          <w:color w:val="444444"/>
          <w:sz w:val="19"/>
          <w:szCs w:val="19"/>
        </w:rPr>
        <w:t xml:space="preserve">(βλ. σκέψεις 51, 54-56 και </w:t>
      </w:r>
      <w:proofErr w:type="spellStart"/>
      <w:r>
        <w:rPr>
          <w:rFonts w:ascii="Arial" w:hAnsi="Arial" w:cs="Arial"/>
          <w:color w:val="444444"/>
          <w:sz w:val="19"/>
          <w:szCs w:val="19"/>
        </w:rPr>
        <w:t>διατακτ</w:t>
      </w:r>
      <w:proofErr w:type="spellEnd"/>
      <w:r>
        <w:rPr>
          <w:rFonts w:ascii="Arial" w:hAnsi="Arial" w:cs="Arial"/>
          <w:color w:val="444444"/>
          <w:sz w:val="19"/>
          <w:szCs w:val="19"/>
        </w:rPr>
        <w:t>.)</w:t>
      </w:r>
    </w:p>
    <w:p w:rsidR="007E4791" w:rsidRDefault="007E4791" w:rsidP="007E4791">
      <w:pPr>
        <w:shd w:val="clear" w:color="auto" w:fill="FFFFFF"/>
        <w:spacing w:after="240" w:line="240" w:lineRule="auto"/>
        <w:ind w:left="567"/>
        <w:jc w:val="center"/>
        <w:rPr>
          <w:rFonts w:ascii="Arial" w:eastAsia="Times New Roman" w:hAnsi="Arial" w:cs="Arial"/>
          <w:b/>
          <w:bCs/>
          <w:color w:val="444444"/>
          <w:lang w:eastAsia="el-GR"/>
        </w:rPr>
      </w:pPr>
    </w:p>
    <w:p w:rsidR="007E4791" w:rsidRPr="007E4791" w:rsidRDefault="007E4791" w:rsidP="007E4791">
      <w:pPr>
        <w:shd w:val="clear" w:color="auto" w:fill="FFFFFF"/>
        <w:spacing w:after="240" w:line="240" w:lineRule="auto"/>
        <w:ind w:left="567"/>
        <w:jc w:val="center"/>
        <w:rPr>
          <w:rFonts w:ascii="Arial" w:eastAsia="Times New Roman" w:hAnsi="Arial" w:cs="Arial"/>
          <w:b/>
          <w:bCs/>
          <w:i/>
          <w:color w:val="444444"/>
          <w:lang w:eastAsia="el-GR"/>
        </w:rPr>
      </w:pPr>
      <w:r w:rsidRPr="007E4791">
        <w:rPr>
          <w:rFonts w:ascii="Arial" w:eastAsia="Times New Roman" w:hAnsi="Arial" w:cs="Arial"/>
          <w:b/>
          <w:bCs/>
          <w:i/>
          <w:color w:val="444444"/>
          <w:lang w:eastAsia="el-GR"/>
        </w:rPr>
        <w:t xml:space="preserve">Υπόθεση C-34/09, </w:t>
      </w:r>
      <w:proofErr w:type="spellStart"/>
      <w:r w:rsidRPr="007E4791">
        <w:rPr>
          <w:rFonts w:ascii="Arial" w:eastAsia="Times New Roman" w:hAnsi="Arial" w:cs="Arial"/>
          <w:b/>
          <w:bCs/>
          <w:i/>
          <w:color w:val="444444"/>
          <w:lang w:val="en-US" w:eastAsia="el-GR"/>
        </w:rPr>
        <w:t>Zambrano</w:t>
      </w:r>
      <w:proofErr w:type="spellEnd"/>
    </w:p>
    <w:p w:rsidR="007E4791" w:rsidRPr="00175128" w:rsidRDefault="007E4791" w:rsidP="007E4791">
      <w:pPr>
        <w:shd w:val="clear" w:color="auto" w:fill="FFFFFF"/>
        <w:spacing w:before="600" w:after="560" w:line="240" w:lineRule="auto"/>
        <w:ind w:left="567"/>
        <w:jc w:val="both"/>
        <w:rPr>
          <w:rFonts w:ascii="Arial" w:eastAsia="Times New Roman" w:hAnsi="Arial" w:cs="Arial"/>
          <w:color w:val="444444"/>
          <w:lang w:eastAsia="el-GR"/>
        </w:rPr>
      </w:pPr>
      <w:r w:rsidRPr="00175128">
        <w:rPr>
          <w:rFonts w:ascii="Arial" w:eastAsia="Times New Roman" w:hAnsi="Arial" w:cs="Arial"/>
          <w:color w:val="444444"/>
          <w:lang w:eastAsia="el-GR"/>
        </w:rPr>
        <w:t xml:space="preserve"> «Ιθαγένεια της Ένωσης – Άρθρο 20 ΣΛΕΕ – Χορήγηση σε ανήλικο τέκνο δικαιώματος διαμονής, δυνάμει του δικαίου της Ένωσης, στο κράτος μέλος της ιθαγένειάς του, ανεξάρτητα από το αν έχει ασκήσει προηγουμένως το δικαίωμά του να κυκλοφορεί ελεύθερα στο έδαφος των κρατών μελών – Χορήγηση, υπό τις ίδιες περιστάσεις, δευτερογενούς δικαιώματος διαμονής στον ανιόντα, υπήκοο τρίτου κράτους, ο οποίος συντηρεί το ανήλικο τέκνο – Συνέπειες του δικαιώματος διαμονής του ανήλικου τέκνου ως προς τις προϋποθέσεις που πρέπει να πληροί, από πλευράς εργατικού δικαίου, ο ανιών του ως άνω ανηλίκου, ο οποίος είναι υπήκοος τρίτου κράτους»</w:t>
      </w:r>
    </w:p>
    <w:p w:rsidR="007E4791" w:rsidRPr="00175128" w:rsidRDefault="007E4791" w:rsidP="007E4791">
      <w:pPr>
        <w:shd w:val="clear" w:color="auto" w:fill="FFFFFF"/>
        <w:spacing w:after="0" w:line="240" w:lineRule="auto"/>
        <w:ind w:left="567"/>
        <w:jc w:val="center"/>
        <w:rPr>
          <w:rFonts w:ascii="Arial" w:eastAsia="Times New Roman" w:hAnsi="Arial" w:cs="Arial"/>
          <w:color w:val="444444"/>
          <w:lang w:eastAsia="el-GR"/>
        </w:rPr>
      </w:pPr>
      <w:r w:rsidRPr="00175128">
        <w:rPr>
          <w:rFonts w:ascii="Arial" w:eastAsia="Times New Roman" w:hAnsi="Arial" w:cs="Arial"/>
          <w:color w:val="444444"/>
          <w:lang w:eastAsia="el-GR"/>
        </w:rPr>
        <w:t>Περίληψη της αποφάσεως</w:t>
      </w:r>
    </w:p>
    <w:p w:rsidR="007E4791" w:rsidRPr="00175128" w:rsidRDefault="007E4791" w:rsidP="007E4791">
      <w:pPr>
        <w:shd w:val="clear" w:color="auto" w:fill="FFFFFF"/>
        <w:spacing w:before="120" w:after="0" w:line="240" w:lineRule="auto"/>
        <w:ind w:left="567"/>
        <w:jc w:val="both"/>
        <w:rPr>
          <w:rFonts w:ascii="Arial" w:eastAsia="Times New Roman" w:hAnsi="Arial" w:cs="Arial"/>
          <w:i/>
          <w:iCs/>
          <w:color w:val="444444"/>
          <w:lang w:eastAsia="el-GR"/>
        </w:rPr>
      </w:pPr>
      <w:r w:rsidRPr="00175128">
        <w:rPr>
          <w:rFonts w:ascii="Arial" w:eastAsia="Times New Roman" w:hAnsi="Arial" w:cs="Arial"/>
          <w:i/>
          <w:iCs/>
          <w:color w:val="444444"/>
          <w:lang w:eastAsia="el-GR"/>
        </w:rPr>
        <w:lastRenderedPageBreak/>
        <w:t>Ιθαγένεια της Ευρωπαϊκής Ένωσης – Διατάξεις της ΣΛΕΕ – Προσωπικό πεδίο εφαρμογής – Ανήλικος υπήκοος κράτους μέλους ο οποίος ουδέποτε έχει ασκήσει το δικαίωμά του σε ελεύθερη κυκλοφορία – Εμπίπτει</w:t>
      </w:r>
    </w:p>
    <w:p w:rsidR="007E4791" w:rsidRPr="00175128" w:rsidRDefault="007E4791" w:rsidP="007E4791">
      <w:pPr>
        <w:shd w:val="clear" w:color="auto" w:fill="FFFFFF"/>
        <w:spacing w:after="240" w:line="240" w:lineRule="auto"/>
        <w:ind w:left="567"/>
        <w:jc w:val="both"/>
        <w:rPr>
          <w:rFonts w:ascii="Arial" w:eastAsia="Times New Roman" w:hAnsi="Arial" w:cs="Arial"/>
          <w:i/>
          <w:iCs/>
          <w:color w:val="444444"/>
          <w:lang w:eastAsia="el-GR"/>
        </w:rPr>
      </w:pPr>
      <w:r w:rsidRPr="00175128">
        <w:rPr>
          <w:rFonts w:ascii="Arial" w:eastAsia="Times New Roman" w:hAnsi="Arial" w:cs="Arial"/>
          <w:i/>
          <w:iCs/>
          <w:color w:val="444444"/>
          <w:lang w:eastAsia="el-GR"/>
        </w:rPr>
        <w:t>(Άρθρο 20 ΣΛΕΕ)</w:t>
      </w:r>
    </w:p>
    <w:p w:rsidR="007E4791" w:rsidRPr="00175128" w:rsidRDefault="007E4791" w:rsidP="007E4791">
      <w:pPr>
        <w:shd w:val="clear" w:color="auto" w:fill="FFFFFF"/>
        <w:spacing w:after="240" w:line="240" w:lineRule="auto"/>
        <w:ind w:left="567"/>
        <w:jc w:val="both"/>
        <w:rPr>
          <w:rFonts w:ascii="Arial" w:eastAsia="Times New Roman" w:hAnsi="Arial" w:cs="Arial"/>
          <w:color w:val="444444"/>
          <w:lang w:eastAsia="el-GR"/>
        </w:rPr>
      </w:pPr>
      <w:r w:rsidRPr="00175128">
        <w:rPr>
          <w:rFonts w:ascii="Arial" w:eastAsia="Times New Roman" w:hAnsi="Arial" w:cs="Arial"/>
          <w:color w:val="444444"/>
          <w:lang w:eastAsia="el-GR"/>
        </w:rPr>
        <w:t>Το άρθρο 20 ΣΛΕΕ έχει την έννοια ότι δεν επιτρέπει σε κράτος μέλος, αφενός, να αρνηθεί να χορηγήσει σε υπήκοο τρίτου κράτους, ο οποίος συντηρεί τα ανήλικα τέκνα του, που είναι πολίτες της Ένωσης, άδεια διαμονής στο κράτος μέλος στο οποίο κατοικούν τα εν λόγω τέκνα και του οποίου έχουν την ιθαγένεια και, αφετέρου, να αρνηθεί να χορηγήσει στον εν λόγω υπήκοο τρίτου κράτους άδεια εργασίας, καθόσον τέτοιες αποφάσεις θα εμπόδιζαν τα εν λόγω τέκνα να απολαύσουν πράγματι, κατά το ουσιώδες μέρος τους, τα δικαιώματα που συναρτώνται προς την ιδιότητα του πολίτη της Ένωσης.</w:t>
      </w:r>
    </w:p>
    <w:p w:rsidR="007E4791" w:rsidRPr="00175128" w:rsidRDefault="007E4791" w:rsidP="007E4791">
      <w:pPr>
        <w:shd w:val="clear" w:color="auto" w:fill="FFFFFF"/>
        <w:spacing w:after="240" w:line="240" w:lineRule="auto"/>
        <w:ind w:left="567"/>
        <w:jc w:val="both"/>
        <w:rPr>
          <w:rFonts w:ascii="Arial" w:eastAsia="Times New Roman" w:hAnsi="Arial" w:cs="Arial"/>
          <w:color w:val="444444"/>
          <w:lang w:eastAsia="el-GR"/>
        </w:rPr>
      </w:pPr>
      <w:r w:rsidRPr="00175128">
        <w:rPr>
          <w:rFonts w:ascii="Arial" w:eastAsia="Times New Roman" w:hAnsi="Arial" w:cs="Arial"/>
          <w:color w:val="444444"/>
          <w:lang w:eastAsia="el-GR"/>
        </w:rPr>
        <w:t>Ειδικότερα, η ιδιότητα του πολίτη της Ένωσης τείνει να αποτελέσει τη θεμελιώδη ιδιότητα των υπηκόων των κρατών μελών. Μια τέτοια όμως άρνηση χορηγήσεως άδειας διαμονής θα είχε ως συνέπεια να υποχρεωθούν τα εν λόγω τέκνα, που είναι πολίτες της Ένωσης, να εγκαταλείψουν το έδαφος της Ένωσης προκειμένου να συνοδεύσουν τους γονείς τους. Ομοίως, αν στο πρόσωπο αυτό δεν χορηγούνταν άδεια εργασίας, θα διέτρεχε τον κίνδυνο να μη διαθέτει επαρκείς πόρους για την κάλυψη των αναγκών του και των αναγκών της οικογένειάς του, πράγμα που επίσης θα είχε ως συνέπεια να υποχρεωθούν τα τέκνα του, που είναι πολίτες της Ένωσης, να εγκαταλείψουν το έδαφός της. Υπ’ αυτές τις συνθήκες, οι εν λόγω πολίτες της Ένωσης θα αδυνατούσαν στην πράξη να ασκήσουν, κατά το ουσιώδες μέρος τους, τα δικαιώματα που αποκτούν από την ιδιότητά τους του πολίτη της Ένωσης.</w:t>
      </w:r>
    </w:p>
    <w:p w:rsidR="007E4791" w:rsidRPr="00175128" w:rsidRDefault="007E4791" w:rsidP="007E4791">
      <w:pPr>
        <w:shd w:val="clear" w:color="auto" w:fill="FFFFFF"/>
        <w:spacing w:after="0" w:line="240" w:lineRule="auto"/>
        <w:ind w:left="567"/>
        <w:jc w:val="right"/>
        <w:rPr>
          <w:rFonts w:ascii="Arial" w:eastAsia="Times New Roman" w:hAnsi="Arial" w:cs="Arial"/>
          <w:color w:val="444444"/>
          <w:sz w:val="19"/>
          <w:szCs w:val="19"/>
          <w:lang w:eastAsia="el-GR"/>
        </w:rPr>
      </w:pPr>
      <w:r w:rsidRPr="00175128">
        <w:rPr>
          <w:rFonts w:ascii="Arial" w:eastAsia="Times New Roman" w:hAnsi="Arial" w:cs="Arial"/>
          <w:color w:val="444444"/>
          <w:sz w:val="19"/>
          <w:szCs w:val="19"/>
          <w:lang w:eastAsia="el-GR"/>
        </w:rPr>
        <w:t xml:space="preserve">(βλ. σκέψεις 41, 44-45 και </w:t>
      </w:r>
      <w:proofErr w:type="spellStart"/>
      <w:r w:rsidRPr="00175128">
        <w:rPr>
          <w:rFonts w:ascii="Arial" w:eastAsia="Times New Roman" w:hAnsi="Arial" w:cs="Arial"/>
          <w:color w:val="444444"/>
          <w:sz w:val="19"/>
          <w:szCs w:val="19"/>
          <w:lang w:eastAsia="el-GR"/>
        </w:rPr>
        <w:t>διατακτ</w:t>
      </w:r>
      <w:proofErr w:type="spellEnd"/>
      <w:r w:rsidRPr="00175128">
        <w:rPr>
          <w:rFonts w:ascii="Arial" w:eastAsia="Times New Roman" w:hAnsi="Arial" w:cs="Arial"/>
          <w:color w:val="444444"/>
          <w:sz w:val="19"/>
          <w:szCs w:val="19"/>
          <w:lang w:eastAsia="el-GR"/>
        </w:rPr>
        <w:t>.)</w:t>
      </w:r>
    </w:p>
    <w:p w:rsidR="007E4791" w:rsidRPr="00175128" w:rsidRDefault="007E4791" w:rsidP="007E4791">
      <w:pPr>
        <w:spacing w:after="0" w:line="240" w:lineRule="auto"/>
        <w:rPr>
          <w:rFonts w:ascii="Times New Roman" w:eastAsia="Times New Roman" w:hAnsi="Times New Roman" w:cs="Times New Roman"/>
          <w:sz w:val="24"/>
          <w:szCs w:val="24"/>
          <w:lang w:eastAsia="el-GR"/>
        </w:rPr>
      </w:pP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p>
    <w:p w:rsidR="00941523" w:rsidRPr="00941523" w:rsidRDefault="00941523" w:rsidP="00941523"/>
    <w:sectPr w:rsidR="00941523" w:rsidRPr="00941523" w:rsidSect="007E5E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E27CA"/>
    <w:multiLevelType w:val="multilevel"/>
    <w:tmpl w:val="6990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56212D"/>
    <w:multiLevelType w:val="multilevel"/>
    <w:tmpl w:val="ED92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1C1539"/>
    <w:multiLevelType w:val="multilevel"/>
    <w:tmpl w:val="D86E8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B64705"/>
    <w:multiLevelType w:val="multilevel"/>
    <w:tmpl w:val="BCA0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41523"/>
    <w:rsid w:val="006C322A"/>
    <w:rsid w:val="007E4791"/>
    <w:rsid w:val="007E5EC8"/>
    <w:rsid w:val="00941523"/>
    <w:rsid w:val="00B415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5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1523"/>
    <w:rPr>
      <w:b/>
      <w:bCs/>
    </w:rPr>
  </w:style>
  <w:style w:type="paragraph" w:customStyle="1" w:styleId="sum-title-1">
    <w:name w:val="sum-title-1"/>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7E4791"/>
  </w:style>
  <w:style w:type="paragraph" w:customStyle="1" w:styleId="sum-title-2">
    <w:name w:val="sum-title-2"/>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elim">
    <w:name w:val="prelim"/>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ndex">
    <w:name w:val="index"/>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nternal">
    <w:name w:val="internal"/>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ef-abstract">
    <w:name w:val="ref-abstract"/>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um-title-3">
    <w:name w:val="sum-title-3"/>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73alineacentregras">
    <w:name w:val="s73alineacentregras"/>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9centre">
    <w:name w:val="s39centre"/>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71indicateur">
    <w:name w:val="s71indicateur"/>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40titre">
    <w:name w:val="s40titre"/>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6renvoi">
    <w:name w:val="s36renvoi"/>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5motclenumerote">
    <w:name w:val="s35motclenumerote"/>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7motclefinretrait1">
    <w:name w:val="s37motclefinretrait1"/>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01pointaltn">
    <w:name w:val="s01pointaltn"/>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19marge1">
    <w:name w:val="s19marge1"/>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5352</Words>
  <Characters>28902</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2020-03-02T07:13:00Z</dcterms:created>
  <dcterms:modified xsi:type="dcterms:W3CDTF">2020-03-02T07:13:00Z</dcterms:modified>
</cp:coreProperties>
</file>