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70" w:rsidRDefault="00E16670" w:rsidP="005E5F37">
      <w:pPr>
        <w:jc w:val="center"/>
        <w:rPr>
          <w:b/>
          <w:sz w:val="32"/>
        </w:rPr>
      </w:pPr>
      <w:bookmarkStart w:id="0" w:name="_GoBack"/>
      <w:bookmarkEnd w:id="0"/>
      <w:r w:rsidRPr="005E5F37">
        <w:rPr>
          <w:b/>
          <w:sz w:val="32"/>
        </w:rPr>
        <w:t>ΠΑΡΑΡΤΗΜΑ</w:t>
      </w:r>
      <w:r>
        <w:rPr>
          <w:b/>
          <w:sz w:val="32"/>
        </w:rPr>
        <w:t xml:space="preserve"> ΠΕΡΙΓΡΑΜΜΑΤΟΣ ΜΑΘΗΜΑΤΟΣ</w:t>
      </w:r>
    </w:p>
    <w:p w:rsidR="00E16670" w:rsidRPr="005E5F37" w:rsidRDefault="00E16670" w:rsidP="005E5F37">
      <w:pPr>
        <w:shd w:val="clear" w:color="auto" w:fill="B4C6E7"/>
        <w:jc w:val="center"/>
        <w:rPr>
          <w:b/>
          <w:sz w:val="32"/>
        </w:rPr>
      </w:pPr>
    </w:p>
    <w:p w:rsidR="00E16670" w:rsidRPr="005E5F37" w:rsidRDefault="00E16670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:rsidR="00E16670" w:rsidRDefault="00E16670" w:rsidP="005E5F37">
      <w:pPr>
        <w:shd w:val="clear" w:color="auto" w:fill="B4C6E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5"/>
        <w:gridCol w:w="5781"/>
      </w:tblGrid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E16670" w:rsidRPr="009D2A96" w:rsidRDefault="00E16670" w:rsidP="009D2A96">
            <w:pPr>
              <w:spacing w:before="120" w:after="120" w:line="240" w:lineRule="auto"/>
            </w:pPr>
            <w:r>
              <w:t>Ιατρικής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E16670" w:rsidRPr="00D43E19" w:rsidRDefault="00E16670" w:rsidP="009D2A96">
            <w:pPr>
              <w:spacing w:before="120" w:after="120" w:line="240" w:lineRule="auto"/>
              <w:rPr>
                <w:lang w:val="en-US"/>
              </w:rPr>
            </w:pPr>
            <w:r>
              <w:t>Αρχές Διαχείρισης Ζώων Εργαστηρίου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E16670" w:rsidRPr="00D43E19" w:rsidRDefault="00E16670" w:rsidP="009D2A96">
            <w:pPr>
              <w:spacing w:before="120" w:after="120" w:line="240" w:lineRule="auto"/>
              <w:rPr>
                <w:lang w:val="en-US"/>
              </w:rPr>
            </w:pPr>
            <w:r w:rsidRPr="00EB2AFA">
              <w:rPr>
                <w:rFonts w:cs="Arial"/>
                <w:b/>
                <w:color w:val="0F243E"/>
                <w:sz w:val="20"/>
                <w:szCs w:val="20"/>
                <w:lang w:val="en-US"/>
              </w:rPr>
              <w:t>M</w:t>
            </w:r>
            <w:r w:rsidRPr="00EB2AFA">
              <w:rPr>
                <w:rFonts w:cs="Arial"/>
                <w:b/>
                <w:color w:val="0F243E"/>
                <w:sz w:val="20"/>
                <w:szCs w:val="20"/>
              </w:rPr>
              <w:t xml:space="preserve">ΒΓ </w:t>
            </w:r>
            <w:r>
              <w:rPr>
                <w:rFonts w:cs="Arial"/>
                <w:b/>
                <w:color w:val="0F243E"/>
                <w:sz w:val="20"/>
                <w:szCs w:val="20"/>
              </w:rPr>
              <w:t>511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E16670" w:rsidRPr="009D2A96" w:rsidRDefault="00E16670" w:rsidP="009D2A96">
            <w:pPr>
              <w:spacing w:before="120" w:after="120" w:line="240" w:lineRule="auto"/>
            </w:pPr>
            <w:r>
              <w:t>Πέτρος Υψηλάντης</w:t>
            </w:r>
          </w:p>
        </w:tc>
      </w:tr>
      <w:tr w:rsidR="00E16670" w:rsidRPr="00D43E19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E16670" w:rsidRPr="00016363" w:rsidRDefault="00E16670" w:rsidP="009D2A96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email: pipsil@med.duth.gr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 xml:space="preserve">Επόπτες/Επιτηρητές: </w:t>
            </w:r>
            <w:r w:rsidRPr="009D2A96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:rsidR="00E16670" w:rsidRPr="009D2A96" w:rsidRDefault="00E16670" w:rsidP="009D2A96">
            <w:pPr>
              <w:spacing w:before="120" w:after="120" w:line="240" w:lineRule="auto"/>
            </w:pPr>
            <w:r>
              <w:t>-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E16670" w:rsidRPr="00016363" w:rsidRDefault="00E16670" w:rsidP="009D2A96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5o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9D2A96">
              <w:rPr>
                <w:b/>
                <w:sz w:val="24"/>
              </w:rPr>
              <w:t>Επίπεδο σπουδών:</w:t>
            </w:r>
            <w:r w:rsidRPr="009D2A96">
              <w:rPr>
                <w:b/>
                <w:color w:val="000000"/>
                <w:sz w:val="16"/>
              </w:rPr>
              <w:t xml:space="preserve"> (2)</w:t>
            </w:r>
          </w:p>
        </w:tc>
        <w:tc>
          <w:tcPr>
            <w:tcW w:w="5781" w:type="dxa"/>
          </w:tcPr>
          <w:p w:rsidR="00E16670" w:rsidRPr="009D2A96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>μάθημα ΠΠΣ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pStyle w:val="ListParagraph"/>
              <w:spacing w:before="120" w:after="120" w:line="240" w:lineRule="auto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9D2A96">
              <w:rPr>
                <w:b/>
                <w:sz w:val="24"/>
              </w:rPr>
              <w:t>Τρόποι εξέτασης:</w:t>
            </w:r>
            <w:r w:rsidRPr="009D2A96">
              <w:rPr>
                <w:b/>
                <w:color w:val="000000"/>
                <w:sz w:val="16"/>
              </w:rPr>
              <w:t xml:space="preserve"> (3)</w:t>
            </w:r>
          </w:p>
        </w:tc>
        <w:tc>
          <w:tcPr>
            <w:tcW w:w="5781" w:type="dxa"/>
          </w:tcPr>
          <w:p w:rsidR="00E16670" w:rsidRPr="009D2A96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 w:rsidRPr="00A308D0">
              <w:rPr>
                <w:rFonts w:cs="Calibri"/>
                <w:color w:val="000000"/>
                <w:sz w:val="18"/>
                <w:szCs w:val="18"/>
              </w:rPr>
              <w:t>προφορική εξέταση με εξ αποστάσεως μεθόδους</w:t>
            </w:r>
          </w:p>
        </w:tc>
      </w:tr>
      <w:tr w:rsidR="00E16670" w:rsidRPr="009D2A96" w:rsidTr="009D2A96">
        <w:tc>
          <w:tcPr>
            <w:tcW w:w="2515" w:type="dxa"/>
          </w:tcPr>
          <w:p w:rsidR="00E16670" w:rsidRPr="009D2A96" w:rsidRDefault="00E16670" w:rsidP="009D2A96">
            <w:pPr>
              <w:pStyle w:val="ListParagraph"/>
              <w:spacing w:before="120" w:after="120" w:line="240" w:lineRule="auto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9D2A96">
              <w:rPr>
                <w:b/>
                <w:color w:val="000000"/>
                <w:sz w:val="24"/>
              </w:rPr>
              <w:t>Οδηγίες υλοποίησης εξέτασης:</w:t>
            </w:r>
            <w:r w:rsidRPr="009D2A96">
              <w:rPr>
                <w:b/>
                <w:color w:val="000000"/>
                <w:sz w:val="16"/>
              </w:rPr>
              <w:t xml:space="preserve"> (4)</w:t>
            </w:r>
          </w:p>
        </w:tc>
        <w:tc>
          <w:tcPr>
            <w:tcW w:w="5781" w:type="dxa"/>
          </w:tcPr>
          <w:p w:rsidR="00E16670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>Η εξέταση θα γίνεται σε ομάδες των 4 ή 5 ατόμων.</w:t>
            </w:r>
          </w:p>
          <w:p w:rsidR="00E16670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>Τα θέματα θα ανακοινώνονται προφορικά την ώρα της εξέτασης.</w:t>
            </w:r>
          </w:p>
          <w:p w:rsidR="00E16670" w:rsidRPr="009F2E31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 xml:space="preserve">Η εξέταση θα γίνει με τη βοήθεια του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Skype</w:t>
            </w:r>
            <w:r w:rsidRPr="009F2E31">
              <w:rPr>
                <w:rFonts w:cs="Calibri"/>
                <w:color w:val="2F5496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for</w:t>
            </w:r>
            <w:r w:rsidRPr="009F2E31">
              <w:rPr>
                <w:rFonts w:cs="Calibri"/>
                <w:color w:val="2F5496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business</w:t>
            </w:r>
          </w:p>
          <w:p w:rsidR="00E16670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A</w:t>
            </w:r>
            <w:r>
              <w:rPr>
                <w:rFonts w:cs="Calibri"/>
                <w:color w:val="2F5496"/>
                <w:sz w:val="24"/>
                <w:szCs w:val="24"/>
              </w:rPr>
              <w:t>παραίτητα τεχνικά μέσα: σύνδεση στο διαδίκτυο, ηλεκτρονικός υπολογιστής με κάμερα και μικρόφωνο ή κινητό τηλέφωνο</w:t>
            </w:r>
          </w:p>
          <w:p w:rsidR="00E16670" w:rsidRPr="00402B33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 xml:space="preserve">Οι υπερσύνδεσμοι σύνδεσης στην εικονική αίθουσα θα ανακοινωθούν στον κάθε φοιτητή με μήνυμα στο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email</w:t>
            </w:r>
            <w:r>
              <w:rPr>
                <w:rFonts w:cs="Calibri"/>
                <w:color w:val="2F5496"/>
                <w:sz w:val="24"/>
                <w:szCs w:val="24"/>
              </w:rPr>
              <w:t xml:space="preserve"> ή στο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e</w:t>
            </w:r>
            <w:r w:rsidRPr="00402B33">
              <w:rPr>
                <w:rFonts w:cs="Calibri"/>
                <w:color w:val="2F5496"/>
                <w:sz w:val="24"/>
                <w:szCs w:val="24"/>
              </w:rPr>
              <w:t>-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class</w:t>
            </w:r>
          </w:p>
          <w:p w:rsidR="00E16670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>Η διάρκεια των εξετάσεων θα ανακοινωθεί στο πρόγραμμα εξετάσεων</w:t>
            </w:r>
          </w:p>
          <w:p w:rsidR="00E16670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 xml:space="preserve">Η βαθμολόγηση θα γίνεται αποκλειστικά με βάση την προφορική εξέταση. Οι βαθμοί θα ανακοινωθούν στο </w:t>
            </w:r>
            <w:r>
              <w:rPr>
                <w:rFonts w:cs="Calibri"/>
                <w:color w:val="2F5496"/>
                <w:sz w:val="24"/>
                <w:szCs w:val="24"/>
                <w:lang w:val="en-US"/>
              </w:rPr>
              <w:t>eclass</w:t>
            </w:r>
          </w:p>
          <w:p w:rsidR="00E16670" w:rsidRPr="009F2E31" w:rsidRDefault="00E16670" w:rsidP="009D2A96">
            <w:pPr>
              <w:spacing w:before="120" w:after="120" w:line="240" w:lineRule="auto"/>
              <w:jc w:val="both"/>
              <w:rPr>
                <w:rFonts w:cs="Calibri"/>
                <w:color w:val="2F5496"/>
                <w:sz w:val="24"/>
                <w:szCs w:val="24"/>
              </w:rPr>
            </w:pPr>
            <w:r>
              <w:rPr>
                <w:rFonts w:cs="Calibri"/>
                <w:color w:val="2F5496"/>
                <w:sz w:val="24"/>
                <w:szCs w:val="24"/>
              </w:rPr>
              <w:t xml:space="preserve">Η ταυτοποίηση των εξεταζομένων θα γίνεται με επίδειξη της φοιτητικής τους ταυτότητας και της αστυνομικής ταυτότητας/διαβατηρίου/ διπλώματος οδήγησης. </w:t>
            </w:r>
          </w:p>
        </w:tc>
      </w:tr>
    </w:tbl>
    <w:p w:rsidR="00E16670" w:rsidRDefault="00E16670"/>
    <w:p w:rsidR="00E16670" w:rsidRDefault="00E16670"/>
    <w:p w:rsidR="00E16670" w:rsidRDefault="00E1667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:rsidR="00E16670" w:rsidRDefault="00E1667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:rsidR="00E16670" w:rsidRPr="00DB4C15" w:rsidRDefault="00E1667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 που επιθυμεί ο διδάσκων π</w:t>
      </w:r>
      <w:r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>
        <w:rPr>
          <w:sz w:val="18"/>
          <w:szCs w:val="18"/>
        </w:rPr>
        <w:t>.</w:t>
      </w:r>
    </w:p>
    <w:p w:rsidR="00E16670" w:rsidRPr="00A308D0" w:rsidRDefault="00E1667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="Calibri"/>
          <w:color w:val="000000"/>
          <w:sz w:val="18"/>
          <w:szCs w:val="18"/>
        </w:rPr>
      </w:pPr>
      <w:bookmarkStart w:id="1" w:name="_Hlk41163814"/>
      <w:r w:rsidRPr="00A308D0">
        <w:rPr>
          <w:rFonts w:cs="Calibri"/>
          <w:color w:val="000000"/>
          <w:sz w:val="18"/>
          <w:szCs w:val="18"/>
        </w:rPr>
        <w:t>γραπτή εργασία ή/και ασκήσεις,</w:t>
      </w:r>
    </w:p>
    <w:bookmarkEnd w:id="1"/>
    <w:p w:rsidR="00E16670" w:rsidRPr="00A308D0" w:rsidRDefault="00E1667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/>
          <w:sz w:val="18"/>
          <w:szCs w:val="18"/>
        </w:rPr>
      </w:pPr>
      <w:r w:rsidRPr="00A308D0">
        <w:rPr>
          <w:rFonts w:cs="Calibri"/>
          <w:color w:val="000000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:rsidR="00E16670" w:rsidRDefault="00E16670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σαφείς οδηγίες προς τους φοιτητές όπου αναφέρονται:</w:t>
      </w:r>
    </w:p>
    <w:p w:rsidR="00E16670" w:rsidRDefault="00E16670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οι ημερομηνίες παράδοσης και το μέσο υποβολής τους στον διδάσκοντα, ο τρόπος βαθμολόγησής τους, η συμμετοχή της εργασίας στον τελικό βαθμό</w:t>
      </w:r>
      <w:r w:rsidRPr="00DB4C15">
        <w:rPr>
          <w:sz w:val="18"/>
        </w:rPr>
        <w:t xml:space="preserve"> </w:t>
      </w:r>
      <w:r>
        <w:rPr>
          <w:sz w:val="18"/>
        </w:rPr>
        <w:t>και ό,τι άλλο κρίνει ο διδάσκων ότι πρέπει να αναφερθεί. Επισυνάπτεται κατάλογος μόνο με τα ΑΕΜ των δικαιούχων να συμμετάσχουν στην εξέταση.</w:t>
      </w:r>
    </w:p>
    <w:p w:rsidR="00E16670" w:rsidRDefault="00E16670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>β) σ</w:t>
      </w:r>
      <w:r w:rsidRPr="0008631A">
        <w:rPr>
          <w:sz w:val="18"/>
        </w:rPr>
        <w:t xml:space="preserve">ε περίπτωση </w:t>
      </w:r>
      <w:r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Pr="0008631A">
        <w:rPr>
          <w:b/>
          <w:sz w:val="18"/>
        </w:rPr>
        <w:t xml:space="preserve"> </w:t>
      </w:r>
      <w:r w:rsidRPr="001175FD">
        <w:rPr>
          <w:bCs/>
          <w:sz w:val="18"/>
        </w:rPr>
        <w:t xml:space="preserve">οι </w:t>
      </w:r>
      <w:r w:rsidRPr="0008631A">
        <w:rPr>
          <w:sz w:val="18"/>
        </w:rPr>
        <w:t>οδηγίες πραγματοποίησης της εξέτασης</w:t>
      </w:r>
      <w:r>
        <w:rPr>
          <w:sz w:val="18"/>
        </w:rPr>
        <w:t xml:space="preserve"> (π.χ. σε γκρουπ Χ ατόμων)</w:t>
      </w:r>
      <w:r w:rsidRPr="0008631A">
        <w:rPr>
          <w:sz w:val="18"/>
        </w:rPr>
        <w:t xml:space="preserve">, </w:t>
      </w:r>
      <w:r>
        <w:rPr>
          <w:sz w:val="18"/>
        </w:rPr>
        <w:t xml:space="preserve">ο τρόπος εκφώνησης θεμάτων, </w:t>
      </w:r>
      <w:r w:rsidRPr="0008631A">
        <w:rPr>
          <w:sz w:val="18"/>
        </w:rPr>
        <w:t xml:space="preserve">οι εφαρμογές που θα χρησιμοποιηθούν, </w:t>
      </w:r>
      <w:r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>
        <w:rPr>
          <w:sz w:val="18"/>
        </w:rPr>
        <w:t xml:space="preserve">, οι υπερσύνδεσμοι σύνδεσης με την εικονική αίθουσα ή ο τρόπος και ο χρόνος αποστολής του υπερσυνδέσμου, </w:t>
      </w:r>
      <w:r w:rsidRPr="0008631A">
        <w:rPr>
          <w:sz w:val="18"/>
        </w:rPr>
        <w:t>οι ημερομηνίες και ώρες που θα συνδεθ</w:t>
      </w:r>
      <w:r>
        <w:rPr>
          <w:sz w:val="18"/>
        </w:rPr>
        <w:t>εί</w:t>
      </w:r>
      <w:r w:rsidRPr="0008631A">
        <w:rPr>
          <w:sz w:val="18"/>
        </w:rPr>
        <w:t xml:space="preserve"> </w:t>
      </w:r>
      <w:r>
        <w:rPr>
          <w:sz w:val="18"/>
        </w:rPr>
        <w:t>κάθε</w:t>
      </w:r>
      <w:r w:rsidRPr="0008631A">
        <w:rPr>
          <w:sz w:val="18"/>
        </w:rPr>
        <w:t xml:space="preserve"> φοιτητ</w:t>
      </w:r>
      <w:r>
        <w:rPr>
          <w:sz w:val="18"/>
        </w:rPr>
        <w:t>ής (πρόγραμμα εξέτασης)</w:t>
      </w:r>
      <w:r w:rsidRPr="0008631A">
        <w:rPr>
          <w:sz w:val="18"/>
        </w:rPr>
        <w:t>, η διάρκεια</w:t>
      </w:r>
      <w:r>
        <w:rPr>
          <w:sz w:val="18"/>
        </w:rPr>
        <w:t xml:space="preserve"> της εξέτασης (έναρξη-λήξη)</w:t>
      </w:r>
      <w:r w:rsidRPr="0008631A">
        <w:rPr>
          <w:sz w:val="18"/>
        </w:rPr>
        <w:t xml:space="preserve">, ο τρόπος βαθμολόγησης, η συμμετοχή </w:t>
      </w:r>
      <w:r>
        <w:rPr>
          <w:sz w:val="18"/>
        </w:rPr>
        <w:t>της εξέτασης</w:t>
      </w:r>
      <w:r w:rsidRPr="0008631A">
        <w:rPr>
          <w:sz w:val="18"/>
        </w:rPr>
        <w:t xml:space="preserve"> στον τελικό βαθμό</w:t>
      </w:r>
      <w:r>
        <w:rPr>
          <w:sz w:val="18"/>
        </w:rPr>
        <w:t xml:space="preserve">, οι </w:t>
      </w:r>
      <w:r w:rsidRPr="0008631A">
        <w:rPr>
          <w:sz w:val="18"/>
        </w:rPr>
        <w:t xml:space="preserve">τρόποι με τους οποίους εξασφαλίζεται το αδιάβλητο και η αξιοπιστία </w:t>
      </w:r>
      <w:r>
        <w:rPr>
          <w:sz w:val="18"/>
        </w:rPr>
        <w:t>εξέτασης</w:t>
      </w:r>
      <w:r w:rsidRPr="0008631A">
        <w:rPr>
          <w:sz w:val="18"/>
        </w:rPr>
        <w:t xml:space="preserve"> και ό,τι άλλο κρίνει ο διδάσκων ότι πρέπει να αναφερθεί</w:t>
      </w:r>
      <w:r>
        <w:rPr>
          <w:sz w:val="18"/>
        </w:rPr>
        <w:t xml:space="preserve">. </w:t>
      </w:r>
      <w:r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>
        <w:rPr>
          <w:sz w:val="18"/>
        </w:rPr>
        <w:t xml:space="preserve"> και η ώρα εξέτασής τους</w:t>
      </w:r>
      <w:r w:rsidRPr="00706579">
        <w:rPr>
          <w:sz w:val="18"/>
        </w:rPr>
        <w:t>.</w:t>
      </w:r>
    </w:p>
    <w:p w:rsidR="00E16670" w:rsidRDefault="00E16670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ο τρόπος υποβολής των απαντήσεων, η χρονική διάρκεια της εξέτασης,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>
        <w:rPr>
          <w:sz w:val="18"/>
        </w:rPr>
        <w:t xml:space="preserve">. </w:t>
      </w:r>
      <w:r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:rsidR="00E16670" w:rsidRPr="003500A5" w:rsidRDefault="00E16670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 xml:space="preserve">ΠΑΡΑΡΤΗΜΑ ΜΕΣΩ </w:t>
      </w:r>
      <w:r w:rsidRPr="003500A5">
        <w:rPr>
          <w:b/>
          <w:bCs/>
          <w:sz w:val="18"/>
          <w:lang w:val="fr-FR"/>
        </w:rPr>
        <w:t>ECL</w:t>
      </w:r>
      <w:r w:rsidRPr="003500A5">
        <w:rPr>
          <w:b/>
          <w:bCs/>
          <w:sz w:val="18"/>
          <w:lang w:val="en-US"/>
        </w:rPr>
        <w:t>ASS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>ΣΤΟΝ ΚΑΤΑΛΟΓΟ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ΤΩΝ </w:t>
      </w:r>
      <w:r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ΚΑΤΕΒΑΣΕΙ ΑΠΟ ΤΟ </w:t>
      </w:r>
      <w:r>
        <w:rPr>
          <w:b/>
          <w:bCs/>
          <w:sz w:val="18"/>
          <w:lang w:val="fr-FR"/>
        </w:rPr>
        <w:t>CLASS</w:t>
      </w:r>
      <w:r w:rsidRPr="00F70258">
        <w:rPr>
          <w:b/>
          <w:bCs/>
          <w:sz w:val="18"/>
        </w:rPr>
        <w:t xml:space="preserve"> </w:t>
      </w:r>
      <w:r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:rsidR="00E16670" w:rsidRPr="003500A5" w:rsidRDefault="00E1667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E16670" w:rsidRPr="003500A5" w:rsidSect="008209C0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cs="Times New Roman" w:hint="default"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3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5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  <w:rPr>
        <w:rFonts w:cs="Times New Roman"/>
      </w:rPr>
    </w:lvl>
  </w:abstractNum>
  <w:abstractNum w:abstractNumId="4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BFE"/>
    <w:rsid w:val="00016363"/>
    <w:rsid w:val="000713EE"/>
    <w:rsid w:val="0008631A"/>
    <w:rsid w:val="000E1B42"/>
    <w:rsid w:val="001175FD"/>
    <w:rsid w:val="00177FD7"/>
    <w:rsid w:val="00202FA0"/>
    <w:rsid w:val="002D092C"/>
    <w:rsid w:val="003400D7"/>
    <w:rsid w:val="003500A5"/>
    <w:rsid w:val="00402B33"/>
    <w:rsid w:val="0040435D"/>
    <w:rsid w:val="00462027"/>
    <w:rsid w:val="004D2BC0"/>
    <w:rsid w:val="00585697"/>
    <w:rsid w:val="005E5F37"/>
    <w:rsid w:val="00621E55"/>
    <w:rsid w:val="006D4B78"/>
    <w:rsid w:val="00706579"/>
    <w:rsid w:val="007174EE"/>
    <w:rsid w:val="00723F86"/>
    <w:rsid w:val="008209C0"/>
    <w:rsid w:val="00856329"/>
    <w:rsid w:val="00875568"/>
    <w:rsid w:val="008B32DA"/>
    <w:rsid w:val="008D3A7C"/>
    <w:rsid w:val="00922E9E"/>
    <w:rsid w:val="009D2A96"/>
    <w:rsid w:val="009F2E31"/>
    <w:rsid w:val="00A308D0"/>
    <w:rsid w:val="00A7691C"/>
    <w:rsid w:val="00AD18D7"/>
    <w:rsid w:val="00B04BFE"/>
    <w:rsid w:val="00B5454F"/>
    <w:rsid w:val="00BF060F"/>
    <w:rsid w:val="00C05CF0"/>
    <w:rsid w:val="00D43E19"/>
    <w:rsid w:val="00D44250"/>
    <w:rsid w:val="00DB4C15"/>
    <w:rsid w:val="00E16670"/>
    <w:rsid w:val="00EB1021"/>
    <w:rsid w:val="00EB2AFA"/>
    <w:rsid w:val="00EB32D5"/>
    <w:rsid w:val="00F5547D"/>
    <w:rsid w:val="00F7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5F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30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534</Words>
  <Characters>2886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ΠΕΡΙΓΡΑΜΜΑΤΟΣ ΜΑΘΗΜΑΤΟΣ</dc:title>
  <dc:subject/>
  <dc:creator>Στέλλα Γκαβάκη</dc:creator>
  <cp:keywords/>
  <dc:description/>
  <cp:lastModifiedBy>Owner</cp:lastModifiedBy>
  <cp:revision>2</cp:revision>
  <cp:lastPrinted>2020-06-05T05:37:00Z</cp:lastPrinted>
  <dcterms:created xsi:type="dcterms:W3CDTF">2020-06-08T19:30:00Z</dcterms:created>
  <dcterms:modified xsi:type="dcterms:W3CDTF">2020-06-08T19:30:00Z</dcterms:modified>
</cp:coreProperties>
</file>