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81" w:rsidRPr="00050B81" w:rsidRDefault="00050B81" w:rsidP="00050B81">
      <w:pPr>
        <w:spacing w:before="120" w:after="0"/>
        <w:jc w:val="center"/>
        <w:rPr>
          <w:rFonts w:ascii="Calibri" w:eastAsia="Times New Roman" w:hAnsi="Calibri" w:cs="Arial"/>
          <w:sz w:val="24"/>
          <w:szCs w:val="24"/>
        </w:rPr>
      </w:pPr>
      <w:bookmarkStart w:id="0" w:name="_GoBack"/>
      <w:bookmarkEnd w:id="0"/>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208"/>
        <w:gridCol w:w="344"/>
        <w:gridCol w:w="1622"/>
      </w:tblGrid>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rsidR="00050B81" w:rsidRPr="00035040" w:rsidRDefault="000350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Επιστήμης </w:t>
            </w:r>
            <w:r w:rsidRPr="00035040">
              <w:rPr>
                <w:rFonts w:ascii="Calibri" w:eastAsia="Times New Roman" w:hAnsi="Calibri" w:cs="Arial"/>
                <w:color w:val="244061" w:themeColor="accent1" w:themeShade="80"/>
                <w:sz w:val="20"/>
                <w:szCs w:val="20"/>
              </w:rPr>
              <w:t>Φυσικ</w:t>
            </w:r>
            <w:r>
              <w:rPr>
                <w:rFonts w:ascii="Calibri" w:eastAsia="Times New Roman" w:hAnsi="Calibri" w:cs="Arial"/>
                <w:color w:val="244061" w:themeColor="accent1" w:themeShade="80"/>
                <w:sz w:val="20"/>
                <w:szCs w:val="20"/>
              </w:rPr>
              <w:t>ής Αγωγής και Αθλητισμού</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rsidR="00050B81" w:rsidRPr="00C17BE0" w:rsidRDefault="000350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Επιστήμης </w:t>
            </w:r>
            <w:r w:rsidRPr="00035040">
              <w:rPr>
                <w:rFonts w:ascii="Calibri" w:eastAsia="Times New Roman" w:hAnsi="Calibri" w:cs="Arial"/>
                <w:color w:val="244061" w:themeColor="accent1" w:themeShade="80"/>
                <w:sz w:val="20"/>
                <w:szCs w:val="20"/>
              </w:rPr>
              <w:t>Φυσικ</w:t>
            </w:r>
            <w:r>
              <w:rPr>
                <w:rFonts w:ascii="Calibri" w:eastAsia="Times New Roman" w:hAnsi="Calibri" w:cs="Arial"/>
                <w:color w:val="244061" w:themeColor="accent1" w:themeShade="80"/>
                <w:sz w:val="20"/>
                <w:szCs w:val="20"/>
              </w:rPr>
              <w:t>ής Αγωγής και Αθλητισμού</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rsidR="00050B81" w:rsidRPr="00C17BE0" w:rsidRDefault="000350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ΠΜΣ</w:t>
            </w:r>
            <w:r w:rsidR="00FE0513" w:rsidRPr="00C17BE0">
              <w:rPr>
                <w:rFonts w:ascii="Calibri" w:eastAsia="Times New Roman" w:hAnsi="Calibri" w:cs="Arial"/>
                <w:color w:val="244061" w:themeColor="accent1" w:themeShade="80"/>
                <w:sz w:val="20"/>
                <w:szCs w:val="20"/>
              </w:rPr>
              <w:t xml:space="preserve"> - </w:t>
            </w:r>
            <w:r w:rsidR="003A733E" w:rsidRPr="00C17BE0">
              <w:rPr>
                <w:rFonts w:ascii="Calibri" w:eastAsia="Times New Roman" w:hAnsi="Calibri" w:cs="Arial"/>
                <w:color w:val="244061" w:themeColor="accent1" w:themeShade="80"/>
                <w:sz w:val="20"/>
                <w:szCs w:val="20"/>
              </w:rPr>
              <w:t xml:space="preserve">ΕΠΙΠΕΔΟ </w:t>
            </w:r>
            <w:r>
              <w:rPr>
                <w:rFonts w:ascii="Calibri" w:eastAsia="Times New Roman" w:hAnsi="Calibri" w:cs="Arial"/>
                <w:color w:val="244061" w:themeColor="accent1" w:themeShade="80"/>
                <w:sz w:val="20"/>
                <w:szCs w:val="20"/>
              </w:rPr>
              <w:t>7</w:t>
            </w:r>
          </w:p>
        </w:tc>
      </w:tr>
      <w:tr w:rsidR="00050B81" w:rsidRPr="00050B81" w:rsidTr="007245CC">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C17BE0" w:rsidRDefault="00035040" w:rsidP="00050B81">
            <w:pPr>
              <w:spacing w:after="0" w:line="240" w:lineRule="auto"/>
              <w:rPr>
                <w:rFonts w:ascii="Calibri" w:eastAsia="Times New Roman" w:hAnsi="Calibri" w:cs="Arial"/>
                <w:b/>
                <w:color w:val="244061" w:themeColor="accent1" w:themeShade="80"/>
                <w:sz w:val="20"/>
                <w:szCs w:val="20"/>
              </w:rPr>
            </w:pPr>
            <w:r>
              <w:rPr>
                <w:rFonts w:ascii="Calibri" w:eastAsia="Times New Roman" w:hAnsi="Calibri" w:cs="Arial"/>
                <w:b/>
                <w:color w:val="244061" w:themeColor="accent1" w:themeShade="80"/>
                <w:sz w:val="20"/>
                <w:szCs w:val="20"/>
              </w:rPr>
              <w:t xml:space="preserve">Τ </w:t>
            </w:r>
            <w:r w:rsidR="00A06114">
              <w:rPr>
                <w:rFonts w:ascii="Calibri" w:eastAsia="Times New Roman" w:hAnsi="Calibri" w:cs="Arial"/>
                <w:b/>
                <w:color w:val="244061" w:themeColor="accent1" w:themeShade="80"/>
                <w:sz w:val="20"/>
                <w:szCs w:val="20"/>
              </w:rPr>
              <w:t>206</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rsidR="00050B81" w:rsidRPr="00C17BE0" w:rsidRDefault="00A06114" w:rsidP="00050B81">
            <w:pPr>
              <w:spacing w:after="0" w:line="240" w:lineRule="auto"/>
              <w:rPr>
                <w:rFonts w:ascii="Calibri" w:eastAsia="Times New Roman" w:hAnsi="Calibri" w:cs="Arial"/>
                <w:b/>
                <w:color w:val="244061" w:themeColor="accent1" w:themeShade="80"/>
                <w:sz w:val="20"/>
                <w:szCs w:val="20"/>
                <w:lang w:val="en-US"/>
              </w:rPr>
            </w:pPr>
            <w:r>
              <w:rPr>
                <w:rFonts w:ascii="Calibri" w:hAnsi="Calibri" w:cs="Arial"/>
                <w:color w:val="244061" w:themeColor="accent1" w:themeShade="80"/>
                <w:sz w:val="20"/>
                <w:szCs w:val="20"/>
              </w:rPr>
              <w:t>2</w:t>
            </w:r>
            <w:r w:rsidR="00FE0513" w:rsidRPr="00C17BE0">
              <w:rPr>
                <w:rFonts w:ascii="Calibri" w:hAnsi="Calibri" w:cs="Arial"/>
                <w:color w:val="244061" w:themeColor="accent1" w:themeShade="80"/>
                <w:sz w:val="20"/>
                <w:szCs w:val="20"/>
                <w:vertAlign w:val="superscript"/>
                <w:lang w:val="en-US"/>
              </w:rPr>
              <w:t>o</w:t>
            </w:r>
          </w:p>
        </w:tc>
      </w:tr>
      <w:tr w:rsidR="00050B81" w:rsidRPr="00DB3F60" w:rsidTr="007245CC">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rsidR="003071DC" w:rsidRPr="00C17BE0" w:rsidRDefault="00A06114" w:rsidP="001A3F9B">
            <w:pPr>
              <w:spacing w:after="0" w:line="240" w:lineRule="auto"/>
              <w:rPr>
                <w:rFonts w:ascii="Calibri" w:eastAsia="Times New Roman" w:hAnsi="Calibri" w:cs="Arial"/>
                <w:color w:val="244061" w:themeColor="accent1" w:themeShade="80"/>
                <w:sz w:val="20"/>
                <w:szCs w:val="20"/>
              </w:rPr>
            </w:pPr>
            <w:r>
              <w:rPr>
                <w:b/>
                <w:sz w:val="24"/>
                <w:szCs w:val="24"/>
              </w:rPr>
              <w:t xml:space="preserve">Οικονομία και Τεχνικές στην Οργάνωση Αθλητικών Δρώμενων </w:t>
            </w:r>
          </w:p>
        </w:tc>
      </w:tr>
      <w:tr w:rsidR="00050B81" w:rsidRPr="00050B81" w:rsidTr="007245CC">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rsidTr="007245CC">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rsidR="00050B81" w:rsidRPr="00C17BE0" w:rsidRDefault="00035040" w:rsidP="0072633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2</w:t>
            </w:r>
          </w:p>
        </w:tc>
        <w:tc>
          <w:tcPr>
            <w:tcW w:w="1622" w:type="dxa"/>
          </w:tcPr>
          <w:p w:rsidR="00050B81" w:rsidRPr="00C17BE0" w:rsidRDefault="00035040" w:rsidP="0090701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7,5</w:t>
            </w:r>
          </w:p>
        </w:tc>
      </w:tr>
      <w:tr w:rsidR="00050B81" w:rsidRPr="00050B81" w:rsidTr="007245CC">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463" w:type="dxa"/>
            <w:gridSpan w:val="5"/>
          </w:tcPr>
          <w:p w:rsidR="00047AC5" w:rsidRPr="00C17BE0" w:rsidRDefault="00035040" w:rsidP="00035040">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Ειδίκευσης </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rsidR="00050B81" w:rsidRPr="00C17BE0" w:rsidRDefault="00B97427"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OXI</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w:t>
            </w:r>
          </w:p>
          <w:p w:rsidR="00047AC5" w:rsidRPr="00C17BE0" w:rsidRDefault="00047AC5" w:rsidP="00050B81">
            <w:pPr>
              <w:spacing w:after="0" w:line="240" w:lineRule="auto"/>
              <w:rPr>
                <w:rFonts w:ascii="Calibri" w:eastAsia="Times New Roman" w:hAnsi="Calibri" w:cs="Arial"/>
                <w:color w:val="244061" w:themeColor="accent1" w:themeShade="80"/>
                <w:sz w:val="20"/>
                <w:szCs w:val="20"/>
              </w:rPr>
            </w:pP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p>
        </w:tc>
        <w:tc>
          <w:tcPr>
            <w:tcW w:w="5463" w:type="dxa"/>
            <w:gridSpan w:val="5"/>
          </w:tcPr>
          <w:p w:rsidR="00050B81" w:rsidRPr="00E73EE4" w:rsidRDefault="00050B81" w:rsidP="00050B81">
            <w:pPr>
              <w:spacing w:after="0" w:line="240" w:lineRule="auto"/>
              <w:rPr>
                <w:rFonts w:ascii="Calibri" w:eastAsia="Times New Roman" w:hAnsi="Calibri" w:cs="Arial"/>
                <w:color w:val="244061" w:themeColor="accent1" w:themeShade="80"/>
                <w:sz w:val="20"/>
                <w:szCs w:val="20"/>
              </w:rPr>
            </w:pPr>
          </w:p>
        </w:tc>
      </w:tr>
      <w:tr w:rsidR="00050B81" w:rsidRPr="003A2EAF"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rsidR="00050B81" w:rsidRPr="00035040" w:rsidRDefault="00E35749" w:rsidP="00035040">
            <w:pPr>
              <w:rPr>
                <w:rFonts w:ascii="Calibri" w:hAnsi="Calibri" w:cs="Arial"/>
                <w:color w:val="244061" w:themeColor="accent1" w:themeShade="80"/>
                <w:sz w:val="20"/>
                <w:szCs w:val="20"/>
                <w:lang w:val="en-GB"/>
              </w:rPr>
            </w:pPr>
            <w:r w:rsidRPr="00C17BE0">
              <w:rPr>
                <w:rFonts w:ascii="Calibri" w:hAnsi="Calibri" w:cs="Arial"/>
                <w:color w:val="244061" w:themeColor="accent1" w:themeShade="80"/>
                <w:sz w:val="20"/>
                <w:szCs w:val="20"/>
                <w:lang w:val="en-GB"/>
              </w:rPr>
              <w:t>https://eclass.duth.gr/courses</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050B81" w:rsidRPr="00050B81" w:rsidTr="001A3F9B">
        <w:tc>
          <w:tcPr>
            <w:tcW w:w="8472" w:type="dxa"/>
            <w:gridSpan w:val="3"/>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rsidTr="001A3F9B">
        <w:tc>
          <w:tcPr>
            <w:tcW w:w="8472" w:type="dxa"/>
            <w:gridSpan w:val="3"/>
            <w:tcBorders>
              <w:top w:val="nil"/>
            </w:tcBorders>
            <w:shd w:val="clear" w:color="auto" w:fill="DDD9C3" w:themeFill="background2" w:themeFillShade="E6"/>
          </w:tcPr>
          <w:p w:rsidR="00035040" w:rsidRDefault="00035040" w:rsidP="00050B81">
            <w:pPr>
              <w:widowControl w:val="0"/>
              <w:autoSpaceDE w:val="0"/>
              <w:autoSpaceDN w:val="0"/>
              <w:adjustRightInd w:val="0"/>
              <w:spacing w:after="60" w:line="240" w:lineRule="auto"/>
              <w:rPr>
                <w:sz w:val="24"/>
                <w:szCs w:val="24"/>
              </w:rPr>
            </w:pPr>
            <w:r w:rsidRPr="00D97518">
              <w:rPr>
                <w:sz w:val="24"/>
                <w:szCs w:val="24"/>
              </w:rPr>
              <w:t>Μετά την ολοκλήρωση της φοίτησης στο συγκεκριμένο μάθημα, οι φοιτητές –τριες θα είναι ικανοί να:</w:t>
            </w:r>
          </w:p>
          <w:p w:rsidR="00035040" w:rsidRPr="00D97518" w:rsidRDefault="00035040" w:rsidP="00035040">
            <w:pPr>
              <w:numPr>
                <w:ilvl w:val="0"/>
                <w:numId w:val="7"/>
              </w:numPr>
              <w:autoSpaceDN w:val="0"/>
              <w:spacing w:after="0" w:line="240" w:lineRule="auto"/>
              <w:jc w:val="both"/>
              <w:rPr>
                <w:sz w:val="24"/>
                <w:szCs w:val="24"/>
              </w:rPr>
            </w:pPr>
            <w:r w:rsidRPr="00D97518">
              <w:rPr>
                <w:sz w:val="24"/>
                <w:szCs w:val="24"/>
              </w:rPr>
              <w:t xml:space="preserve">Γνωρίζουν και να κατανοούν </w:t>
            </w:r>
            <w:r w:rsidR="00BE7D73">
              <w:rPr>
                <w:sz w:val="24"/>
                <w:szCs w:val="24"/>
              </w:rPr>
              <w:t>τις βασικές αρχές της αθλητικής οικονομίας στο πλαίσιο της αναψυχής.</w:t>
            </w:r>
          </w:p>
          <w:p w:rsidR="00035040" w:rsidRPr="00D97518" w:rsidRDefault="00035040" w:rsidP="00035040">
            <w:pPr>
              <w:numPr>
                <w:ilvl w:val="0"/>
                <w:numId w:val="7"/>
              </w:numPr>
              <w:autoSpaceDN w:val="0"/>
              <w:spacing w:after="0" w:line="240" w:lineRule="auto"/>
              <w:jc w:val="both"/>
              <w:rPr>
                <w:sz w:val="24"/>
                <w:szCs w:val="24"/>
              </w:rPr>
            </w:pPr>
            <w:r w:rsidRPr="00D97518">
              <w:rPr>
                <w:sz w:val="24"/>
                <w:szCs w:val="24"/>
              </w:rPr>
              <w:t>Γνωρίζουν και να κα</w:t>
            </w:r>
            <w:r w:rsidR="00BE7D73">
              <w:rPr>
                <w:sz w:val="24"/>
                <w:szCs w:val="24"/>
              </w:rPr>
              <w:t>τανοούν τις βασικές θεωρίες των αθλητικών δρώμενων.</w:t>
            </w:r>
          </w:p>
          <w:p w:rsidR="00035040" w:rsidRPr="00D97518" w:rsidRDefault="00035040" w:rsidP="00035040">
            <w:pPr>
              <w:numPr>
                <w:ilvl w:val="0"/>
                <w:numId w:val="7"/>
              </w:numPr>
              <w:autoSpaceDN w:val="0"/>
              <w:spacing w:after="0" w:line="240" w:lineRule="auto"/>
              <w:jc w:val="both"/>
              <w:rPr>
                <w:sz w:val="24"/>
                <w:szCs w:val="24"/>
              </w:rPr>
            </w:pPr>
            <w:r w:rsidRPr="00D97518">
              <w:rPr>
                <w:sz w:val="24"/>
                <w:szCs w:val="24"/>
              </w:rPr>
              <w:t xml:space="preserve">Γνωρίζουν και να κατανοούν </w:t>
            </w:r>
            <w:r w:rsidR="00BE7D73">
              <w:rPr>
                <w:sz w:val="24"/>
                <w:szCs w:val="24"/>
              </w:rPr>
              <w:t>τεχνικές που εφαρμόζονται στην οργάνωση και εκπόνηση δρώμενων.</w:t>
            </w:r>
          </w:p>
          <w:p w:rsidR="00035040" w:rsidRPr="00D97518" w:rsidRDefault="00035040" w:rsidP="00035040">
            <w:pPr>
              <w:numPr>
                <w:ilvl w:val="0"/>
                <w:numId w:val="7"/>
              </w:numPr>
              <w:autoSpaceDN w:val="0"/>
              <w:spacing w:after="0" w:line="240" w:lineRule="auto"/>
              <w:jc w:val="both"/>
              <w:rPr>
                <w:sz w:val="24"/>
                <w:szCs w:val="24"/>
              </w:rPr>
            </w:pPr>
            <w:r w:rsidRPr="00D97518">
              <w:rPr>
                <w:sz w:val="24"/>
                <w:szCs w:val="24"/>
              </w:rPr>
              <w:t xml:space="preserve">Γνωρίζουν και να περιγράφουν τη λειτουργία </w:t>
            </w:r>
            <w:r w:rsidR="00BE7D73">
              <w:rPr>
                <w:sz w:val="24"/>
                <w:szCs w:val="24"/>
              </w:rPr>
              <w:t>εταιρειών που πραγματοποιούν αθλητικά δρώμενα</w:t>
            </w:r>
          </w:p>
          <w:p w:rsidR="00035040" w:rsidRPr="00BE7D73" w:rsidRDefault="00035040" w:rsidP="00BE7D73">
            <w:pPr>
              <w:pStyle w:val="a4"/>
              <w:widowControl w:val="0"/>
              <w:numPr>
                <w:ilvl w:val="0"/>
                <w:numId w:val="7"/>
              </w:numPr>
              <w:autoSpaceDE w:val="0"/>
              <w:autoSpaceDN w:val="0"/>
              <w:adjustRightInd w:val="0"/>
              <w:spacing w:after="60" w:line="240" w:lineRule="auto"/>
              <w:rPr>
                <w:rFonts w:ascii="Calibri" w:eastAsia="Times New Roman" w:hAnsi="Calibri" w:cs="Arial"/>
                <w:i/>
                <w:sz w:val="16"/>
                <w:szCs w:val="16"/>
              </w:rPr>
            </w:pPr>
            <w:r w:rsidRPr="00BE7D73">
              <w:rPr>
                <w:sz w:val="24"/>
                <w:szCs w:val="24"/>
              </w:rPr>
              <w:t>Γνωρίζουν τον τρόπο οργάνωσης και αξιολόγησης των εταιρει</w:t>
            </w:r>
            <w:r w:rsidR="00BE7D73">
              <w:rPr>
                <w:sz w:val="24"/>
                <w:szCs w:val="24"/>
              </w:rPr>
              <w:t>ών αθλητικών δρώμενων</w:t>
            </w:r>
            <w:r w:rsidRPr="00BE7D73">
              <w:rPr>
                <w:sz w:val="24"/>
                <w:szCs w:val="24"/>
              </w:rPr>
              <w:t>.</w:t>
            </w:r>
          </w:p>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p>
        </w:tc>
      </w:tr>
      <w:tr w:rsidR="001A3F9B" w:rsidRPr="00DB3F60" w:rsidTr="00050B81">
        <w:tc>
          <w:tcPr>
            <w:tcW w:w="8472" w:type="dxa"/>
            <w:gridSpan w:val="3"/>
          </w:tcPr>
          <w:p w:rsidR="00BE7D73" w:rsidRDefault="00BE7D73" w:rsidP="00035040">
            <w:pPr>
              <w:tabs>
                <w:tab w:val="left" w:pos="360"/>
              </w:tabs>
              <w:jc w:val="both"/>
              <w:rPr>
                <w:sz w:val="24"/>
                <w:szCs w:val="24"/>
              </w:rPr>
            </w:pPr>
            <w:r>
              <w:rPr>
                <w:sz w:val="24"/>
                <w:szCs w:val="24"/>
              </w:rPr>
              <w:lastRenderedPageBreak/>
              <w:t xml:space="preserve">Σκοπός του μαθήματος είναι η κατανόηση των μεταπτυχιακών φοιτητών σε θέματα που αφορούν την αθλητική βιομηχανία και η σημαντικότητα της οικονομικής διάστασης. Επίσης ένας επιμέρους στόχος είναι η κατανόηση των θεωριών που υπάρχουν σαν γενικές τεχνικές οργάνωσης αθλητικών αλλά και πολιτιστικών δρώμενων. Επίσης </w:t>
            </w:r>
            <w:r w:rsidR="00FE2186">
              <w:rPr>
                <w:sz w:val="24"/>
                <w:szCs w:val="24"/>
              </w:rPr>
              <w:t xml:space="preserve">σκοπός του μαθήματος είναι να κατανοήσουν οι μεταπτυχιακοί φοιτητές </w:t>
            </w:r>
            <w:r>
              <w:rPr>
                <w:sz w:val="24"/>
                <w:szCs w:val="24"/>
              </w:rPr>
              <w:t xml:space="preserve">τις προϋποθέσεις για την δημιουργία επιχειρήσεων που ασχολούνται με την διοργάνωση αθλητικών δρώμενων.  </w:t>
            </w:r>
          </w:p>
          <w:p w:rsidR="00BE7D73" w:rsidRDefault="00BE7D73" w:rsidP="00035040">
            <w:pPr>
              <w:tabs>
                <w:tab w:val="left" w:pos="360"/>
              </w:tabs>
              <w:jc w:val="both"/>
              <w:rPr>
                <w:sz w:val="24"/>
                <w:szCs w:val="24"/>
              </w:rPr>
            </w:pPr>
          </w:p>
          <w:p w:rsidR="0093078D" w:rsidRPr="00C17BE0" w:rsidRDefault="0093078D" w:rsidP="00FE2186">
            <w:pPr>
              <w:tabs>
                <w:tab w:val="left" w:pos="360"/>
              </w:tabs>
              <w:jc w:val="both"/>
              <w:rPr>
                <w:rFonts w:eastAsia="Times New Roman" w:cs="Times New Roman"/>
                <w:color w:val="244061" w:themeColor="accent1" w:themeShade="80"/>
                <w:lang w:eastAsia="el-GR"/>
              </w:rPr>
            </w:pPr>
          </w:p>
        </w:tc>
      </w:tr>
      <w:tr w:rsidR="00050B81" w:rsidRPr="00050B81" w:rsidTr="001A3F9B">
        <w:tblPrEx>
          <w:tblLook w:val="0000"/>
        </w:tblPrEx>
        <w:trPr>
          <w:gridBefore w:val="1"/>
          <w:wBefore w:w="18" w:type="dxa"/>
        </w:trPr>
        <w:tc>
          <w:tcPr>
            <w:tcW w:w="8454"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rsidTr="00B25922">
        <w:tc>
          <w:tcPr>
            <w:tcW w:w="8472" w:type="dxa"/>
            <w:gridSpan w:val="3"/>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B25922">
        <w:tblPrEx>
          <w:tblLook w:val="0000"/>
        </w:tblPrEx>
        <w:tc>
          <w:tcPr>
            <w:tcW w:w="3964" w:type="dxa"/>
            <w:gridSpan w:val="2"/>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Σεβασμός στη διαφορετικότητα και στην πολυπολιτισμικότητα</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B25922">
        <w:tc>
          <w:tcPr>
            <w:tcW w:w="8472" w:type="dxa"/>
            <w:gridSpan w:val="3"/>
            <w:tcBorders>
              <w:bottom w:val="single" w:sz="4" w:space="0" w:color="auto"/>
            </w:tcBorders>
          </w:tcPr>
          <w:p w:rsidR="00050B81" w:rsidRPr="00C17BE0" w:rsidRDefault="00050B81" w:rsidP="001A3F9B">
            <w:pPr>
              <w:spacing w:after="0" w:line="240" w:lineRule="auto"/>
              <w:rPr>
                <w:rFonts w:ascii="Calibri" w:eastAsia="Times New Roman" w:hAnsi="Calibri" w:cs="Arial"/>
                <w:color w:val="244061" w:themeColor="accent1" w:themeShade="80"/>
                <w:sz w:val="20"/>
                <w:szCs w:val="20"/>
              </w:rPr>
            </w:pPr>
          </w:p>
          <w:p w:rsidR="00DB3F60" w:rsidRPr="00C17BE0" w:rsidRDefault="00894A9C" w:rsidP="001645E5">
            <w:pPr>
              <w:widowControl w:val="0"/>
              <w:autoSpaceDE w:val="0"/>
              <w:autoSpaceDN w:val="0"/>
              <w:adjustRightInd w:val="0"/>
              <w:spacing w:after="0" w:line="240" w:lineRule="auto"/>
              <w:rPr>
                <w:rFonts w:ascii="Calibri" w:eastAsia="Times New Roman" w:hAnsi="Calibri" w:cs="Arial"/>
                <w:i/>
                <w:color w:val="244061" w:themeColor="accent1" w:themeShade="80"/>
                <w:sz w:val="16"/>
                <w:szCs w:val="16"/>
              </w:rPr>
            </w:pPr>
            <w:r>
              <w:rPr>
                <w:rFonts w:ascii="Calibri" w:eastAsia="Times New Roman" w:hAnsi="Calibri" w:cs="Arial"/>
                <w:i/>
                <w:color w:val="244061" w:themeColor="accent1" w:themeShade="80"/>
                <w:sz w:val="16"/>
                <w:szCs w:val="16"/>
              </w:rPr>
              <w:t>Μετά την ολοκλήρωση του μαθήματος οι φοιτητές θα είναι ικανοί να γνωρίζουν και να κατανοούν την Αθλητική Ψυχαγωγία, τον Αθλητικό Τουρισμό και την Αθλητική Αναψυχή</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A1D4B" w:rsidRPr="001A3F9B" w:rsidTr="00BF6D32">
        <w:tc>
          <w:tcPr>
            <w:tcW w:w="8472" w:type="dxa"/>
          </w:tcPr>
          <w:p w:rsidR="00BA1D4B" w:rsidRPr="00BD12D7" w:rsidRDefault="00412FC9" w:rsidP="00BA1D4B">
            <w:pPr>
              <w:numPr>
                <w:ilvl w:val="0"/>
                <w:numId w:val="8"/>
              </w:numPr>
              <w:tabs>
                <w:tab w:val="clear" w:pos="720"/>
                <w:tab w:val="num" w:pos="459"/>
              </w:tabs>
              <w:autoSpaceDE w:val="0"/>
              <w:autoSpaceDN w:val="0"/>
              <w:spacing w:after="0"/>
              <w:ind w:hanging="403"/>
              <w:rPr>
                <w:sz w:val="24"/>
                <w:szCs w:val="24"/>
              </w:rPr>
            </w:pPr>
            <w:r>
              <w:rPr>
                <w:sz w:val="24"/>
                <w:szCs w:val="24"/>
              </w:rPr>
              <w:t>Χρηματοδότηση και αξιολόγηση (1)</w:t>
            </w:r>
            <w:r w:rsidR="00BA1D4B" w:rsidRPr="00A456BB">
              <w:rPr>
                <w:sz w:val="24"/>
                <w:szCs w:val="24"/>
              </w:rPr>
              <w:t>.</w:t>
            </w:r>
            <w:r>
              <w:rPr>
                <w:sz w:val="24"/>
                <w:szCs w:val="24"/>
              </w:rPr>
              <w:t xml:space="preserve"> (Πιστοληπτική ικανότητα)</w:t>
            </w:r>
          </w:p>
        </w:tc>
      </w:tr>
      <w:tr w:rsidR="00BA1D4B" w:rsidRPr="001A3F9B" w:rsidTr="00BF6D32">
        <w:tc>
          <w:tcPr>
            <w:tcW w:w="8472" w:type="dxa"/>
          </w:tcPr>
          <w:p w:rsidR="00BA1D4B" w:rsidRPr="00BD12D7" w:rsidRDefault="00412FC9" w:rsidP="00BA1D4B">
            <w:pPr>
              <w:numPr>
                <w:ilvl w:val="0"/>
                <w:numId w:val="8"/>
              </w:numPr>
              <w:autoSpaceDE w:val="0"/>
              <w:autoSpaceDN w:val="0"/>
              <w:spacing w:after="0"/>
              <w:rPr>
                <w:sz w:val="24"/>
                <w:szCs w:val="24"/>
              </w:rPr>
            </w:pPr>
            <w:r>
              <w:rPr>
                <w:sz w:val="24"/>
                <w:szCs w:val="24"/>
              </w:rPr>
              <w:t>Χρηματοδότηση και αξιολόγηση (2) (Διαχρονική αξία χρήματος)</w:t>
            </w:r>
          </w:p>
        </w:tc>
      </w:tr>
      <w:tr w:rsidR="00BA1D4B" w:rsidRPr="001A3F9B" w:rsidTr="00BF6D32">
        <w:tc>
          <w:tcPr>
            <w:tcW w:w="8472" w:type="dxa"/>
          </w:tcPr>
          <w:p w:rsidR="00BA1D4B" w:rsidRPr="00BD12D7" w:rsidRDefault="00412FC9" w:rsidP="00BA1D4B">
            <w:pPr>
              <w:numPr>
                <w:ilvl w:val="0"/>
                <w:numId w:val="8"/>
              </w:numPr>
              <w:autoSpaceDE w:val="0"/>
              <w:autoSpaceDN w:val="0"/>
              <w:spacing w:after="0"/>
              <w:rPr>
                <w:sz w:val="24"/>
                <w:szCs w:val="24"/>
              </w:rPr>
            </w:pPr>
            <w:r>
              <w:rPr>
                <w:sz w:val="24"/>
                <w:szCs w:val="24"/>
              </w:rPr>
              <w:t xml:space="preserve">Χρηματοδότηση και αξιολόγηση (3) Απόδοση </w:t>
            </w:r>
            <w:r w:rsidR="00404CED">
              <w:rPr>
                <w:sz w:val="24"/>
                <w:szCs w:val="24"/>
              </w:rPr>
              <w:t>Μ</w:t>
            </w:r>
            <w:r>
              <w:rPr>
                <w:sz w:val="24"/>
                <w:szCs w:val="24"/>
              </w:rPr>
              <w:t>ετοχή</w:t>
            </w:r>
            <w:r w:rsidR="00BA1D4B" w:rsidRPr="00717410">
              <w:rPr>
                <w:color w:val="000000"/>
                <w:sz w:val="24"/>
                <w:szCs w:val="24"/>
                <w:shd w:val="clear" w:color="auto" w:fill="FFFFFF"/>
              </w:rPr>
              <w:t>.</w:t>
            </w:r>
          </w:p>
        </w:tc>
      </w:tr>
      <w:tr w:rsidR="00BA1D4B" w:rsidRPr="001A3F9B" w:rsidTr="00BF6D32">
        <w:tc>
          <w:tcPr>
            <w:tcW w:w="8472" w:type="dxa"/>
          </w:tcPr>
          <w:p w:rsidR="00BA1D4B" w:rsidRPr="00BD12D7" w:rsidRDefault="00404CED" w:rsidP="00BA1D4B">
            <w:pPr>
              <w:numPr>
                <w:ilvl w:val="0"/>
                <w:numId w:val="8"/>
              </w:numPr>
              <w:autoSpaceDE w:val="0"/>
              <w:autoSpaceDN w:val="0"/>
              <w:spacing w:after="0"/>
              <w:rPr>
                <w:sz w:val="24"/>
                <w:szCs w:val="24"/>
              </w:rPr>
            </w:pPr>
            <w:r>
              <w:rPr>
                <w:sz w:val="24"/>
                <w:szCs w:val="24"/>
              </w:rPr>
              <w:t>Χρηματοδότηση και αξιολόγηση (4</w:t>
            </w:r>
            <w:r w:rsidR="00BA1D4B">
              <w:rPr>
                <w:color w:val="000000"/>
                <w:sz w:val="24"/>
                <w:szCs w:val="24"/>
                <w:shd w:val="clear" w:color="auto" w:fill="FFFFFF"/>
              </w:rPr>
              <w:t>)</w:t>
            </w:r>
            <w:r>
              <w:rPr>
                <w:color w:val="000000"/>
                <w:sz w:val="24"/>
                <w:szCs w:val="24"/>
                <w:shd w:val="clear" w:color="auto" w:fill="FFFFFF"/>
              </w:rPr>
              <w:t>(Τραπεζικά Δάνεια).</w:t>
            </w:r>
          </w:p>
        </w:tc>
      </w:tr>
      <w:tr w:rsidR="00BA1D4B" w:rsidRPr="001A3F9B" w:rsidTr="00BF6D32">
        <w:tc>
          <w:tcPr>
            <w:tcW w:w="8472" w:type="dxa"/>
          </w:tcPr>
          <w:p w:rsidR="00BA1D4B" w:rsidRPr="00EB48B4" w:rsidRDefault="00404CED" w:rsidP="00BA1D4B">
            <w:pPr>
              <w:numPr>
                <w:ilvl w:val="0"/>
                <w:numId w:val="8"/>
              </w:numPr>
              <w:autoSpaceDE w:val="0"/>
              <w:autoSpaceDN w:val="0"/>
              <w:spacing w:after="0"/>
              <w:rPr>
                <w:sz w:val="24"/>
                <w:szCs w:val="24"/>
              </w:rPr>
            </w:pPr>
            <w:r>
              <w:rPr>
                <w:sz w:val="24"/>
                <w:szCs w:val="24"/>
              </w:rPr>
              <w:t>Χρηματοδότηση και αξιολόγηση (5) (Υπολογισμός Καθαρής Παρούσας Αξίας).</w:t>
            </w:r>
          </w:p>
        </w:tc>
      </w:tr>
      <w:tr w:rsidR="00BA1D4B" w:rsidRPr="001A3F9B" w:rsidTr="00BF6D32">
        <w:tc>
          <w:tcPr>
            <w:tcW w:w="8472" w:type="dxa"/>
          </w:tcPr>
          <w:p w:rsidR="00BA1D4B" w:rsidRPr="00717410" w:rsidRDefault="00404CED" w:rsidP="00BA1D4B">
            <w:pPr>
              <w:numPr>
                <w:ilvl w:val="0"/>
                <w:numId w:val="8"/>
              </w:numPr>
              <w:autoSpaceDE w:val="0"/>
              <w:autoSpaceDN w:val="0"/>
              <w:spacing w:after="0"/>
              <w:rPr>
                <w:sz w:val="24"/>
                <w:szCs w:val="24"/>
              </w:rPr>
            </w:pPr>
            <w:r w:rsidRPr="004F0B68">
              <w:rPr>
                <w:sz w:val="24"/>
                <w:szCs w:val="24"/>
              </w:rPr>
              <w:t>Διεθνείς αρχές έρευνας και ανάπτυξης</w:t>
            </w:r>
            <w:r>
              <w:rPr>
                <w:sz w:val="24"/>
                <w:szCs w:val="24"/>
              </w:rPr>
              <w:t>.</w:t>
            </w:r>
          </w:p>
        </w:tc>
      </w:tr>
      <w:tr w:rsidR="00BA1D4B" w:rsidRPr="001A3F9B" w:rsidTr="00BF6D32">
        <w:tc>
          <w:tcPr>
            <w:tcW w:w="8472" w:type="dxa"/>
          </w:tcPr>
          <w:p w:rsidR="00BA1D4B" w:rsidRPr="00717410" w:rsidRDefault="00404CED" w:rsidP="00BA1D4B">
            <w:pPr>
              <w:numPr>
                <w:ilvl w:val="0"/>
                <w:numId w:val="8"/>
              </w:numPr>
              <w:autoSpaceDE w:val="0"/>
              <w:autoSpaceDN w:val="0"/>
              <w:spacing w:after="0"/>
              <w:rPr>
                <w:sz w:val="24"/>
                <w:szCs w:val="24"/>
              </w:rPr>
            </w:pPr>
            <w:r w:rsidRPr="004F0B68">
              <w:rPr>
                <w:sz w:val="24"/>
                <w:szCs w:val="24"/>
              </w:rPr>
              <w:t>Μετασχηματισμός γνώσης σε επιχειρηματική καινοτομία</w:t>
            </w:r>
            <w:r>
              <w:rPr>
                <w:sz w:val="24"/>
                <w:szCs w:val="24"/>
              </w:rPr>
              <w:t>.</w:t>
            </w:r>
          </w:p>
        </w:tc>
      </w:tr>
      <w:tr w:rsidR="00BA1D4B" w:rsidRPr="001A3F9B" w:rsidTr="00BF6D32">
        <w:tc>
          <w:tcPr>
            <w:tcW w:w="8472" w:type="dxa"/>
          </w:tcPr>
          <w:p w:rsidR="00BA1D4B" w:rsidRPr="00404CED" w:rsidRDefault="00404CED" w:rsidP="00404CED">
            <w:pPr>
              <w:numPr>
                <w:ilvl w:val="0"/>
                <w:numId w:val="8"/>
              </w:numPr>
              <w:autoSpaceDE w:val="0"/>
              <w:autoSpaceDN w:val="0"/>
              <w:spacing w:after="0"/>
              <w:rPr>
                <w:sz w:val="24"/>
                <w:szCs w:val="24"/>
              </w:rPr>
            </w:pPr>
            <w:r w:rsidRPr="004F0B68">
              <w:rPr>
                <w:sz w:val="24"/>
                <w:szCs w:val="24"/>
              </w:rPr>
              <w:t>Διοίκηση και Ολική Ποιότητα στην Εκπαίδευση</w:t>
            </w:r>
            <w:r>
              <w:rPr>
                <w:sz w:val="24"/>
                <w:szCs w:val="24"/>
              </w:rPr>
              <w:t>.</w:t>
            </w:r>
            <w:r w:rsidRPr="004F0B68">
              <w:rPr>
                <w:sz w:val="24"/>
                <w:szCs w:val="24"/>
              </w:rPr>
              <w:t xml:space="preserve"> </w:t>
            </w:r>
          </w:p>
        </w:tc>
      </w:tr>
      <w:tr w:rsidR="00BA1D4B" w:rsidRPr="001A3F9B" w:rsidTr="00BF6D32">
        <w:tc>
          <w:tcPr>
            <w:tcW w:w="8472" w:type="dxa"/>
          </w:tcPr>
          <w:p w:rsidR="00BA1D4B" w:rsidRPr="00717410" w:rsidRDefault="00404CED" w:rsidP="00BA1D4B">
            <w:pPr>
              <w:numPr>
                <w:ilvl w:val="0"/>
                <w:numId w:val="8"/>
              </w:numPr>
              <w:autoSpaceDE w:val="0"/>
              <w:autoSpaceDN w:val="0"/>
              <w:spacing w:after="0"/>
              <w:rPr>
                <w:sz w:val="24"/>
                <w:szCs w:val="24"/>
              </w:rPr>
            </w:pPr>
            <w:r w:rsidRPr="004F0B68">
              <w:rPr>
                <w:sz w:val="24"/>
                <w:szCs w:val="24"/>
              </w:rPr>
              <w:t>Διοργάνωση δρώμενων και ΑΜΕΑ.</w:t>
            </w:r>
            <w:r>
              <w:rPr>
                <w:sz w:val="24"/>
                <w:szCs w:val="24"/>
              </w:rPr>
              <w:t xml:space="preserve"> (1)</w:t>
            </w:r>
          </w:p>
        </w:tc>
      </w:tr>
      <w:tr w:rsidR="00BA1D4B" w:rsidRPr="001A3F9B" w:rsidTr="00BF6D32">
        <w:tc>
          <w:tcPr>
            <w:tcW w:w="8472" w:type="dxa"/>
          </w:tcPr>
          <w:p w:rsidR="00BA1D4B" w:rsidRPr="00717410" w:rsidRDefault="00404CED" w:rsidP="00BA1D4B">
            <w:pPr>
              <w:numPr>
                <w:ilvl w:val="0"/>
                <w:numId w:val="8"/>
              </w:numPr>
              <w:autoSpaceDE w:val="0"/>
              <w:autoSpaceDN w:val="0"/>
              <w:spacing w:after="0"/>
              <w:rPr>
                <w:sz w:val="24"/>
                <w:szCs w:val="24"/>
              </w:rPr>
            </w:pPr>
            <w:r w:rsidRPr="004F0B68">
              <w:rPr>
                <w:sz w:val="24"/>
                <w:szCs w:val="24"/>
              </w:rPr>
              <w:t>Διοργάνωση δρώμενων και ΑΜΕΑ.</w:t>
            </w:r>
            <w:r>
              <w:rPr>
                <w:sz w:val="24"/>
                <w:szCs w:val="24"/>
              </w:rPr>
              <w:t xml:space="preserve"> (2)</w:t>
            </w:r>
          </w:p>
        </w:tc>
      </w:tr>
      <w:tr w:rsidR="00BA1D4B" w:rsidRPr="001A3F9B" w:rsidTr="00BF6D32">
        <w:tc>
          <w:tcPr>
            <w:tcW w:w="8472" w:type="dxa"/>
          </w:tcPr>
          <w:p w:rsidR="00BA1D4B" w:rsidRPr="00717410" w:rsidRDefault="00404CED" w:rsidP="00BA1D4B">
            <w:pPr>
              <w:numPr>
                <w:ilvl w:val="0"/>
                <w:numId w:val="8"/>
              </w:numPr>
              <w:autoSpaceDE w:val="0"/>
              <w:autoSpaceDN w:val="0"/>
              <w:spacing w:after="0"/>
              <w:rPr>
                <w:sz w:val="24"/>
                <w:szCs w:val="24"/>
              </w:rPr>
            </w:pPr>
            <w:r>
              <w:rPr>
                <w:color w:val="000000"/>
                <w:sz w:val="24"/>
                <w:szCs w:val="24"/>
                <w:shd w:val="clear" w:color="auto" w:fill="FFFFFF"/>
              </w:rPr>
              <w:t xml:space="preserve">Βασικές αρχές της αθλητικής Βιομηχανίας. </w:t>
            </w:r>
          </w:p>
        </w:tc>
      </w:tr>
      <w:tr w:rsidR="00BA1D4B" w:rsidRPr="001A3F9B" w:rsidTr="00BF6D32">
        <w:tc>
          <w:tcPr>
            <w:tcW w:w="8472" w:type="dxa"/>
          </w:tcPr>
          <w:p w:rsidR="00BA1D4B" w:rsidRPr="00717410" w:rsidRDefault="00BA1D4B" w:rsidP="00404CED">
            <w:pPr>
              <w:numPr>
                <w:ilvl w:val="0"/>
                <w:numId w:val="8"/>
              </w:numPr>
              <w:autoSpaceDE w:val="0"/>
              <w:autoSpaceDN w:val="0"/>
              <w:spacing w:after="0"/>
              <w:rPr>
                <w:sz w:val="24"/>
                <w:szCs w:val="24"/>
              </w:rPr>
            </w:pPr>
            <w:r w:rsidRPr="002B1867">
              <w:rPr>
                <w:color w:val="000000"/>
                <w:sz w:val="24"/>
                <w:szCs w:val="24"/>
                <w:shd w:val="clear" w:color="auto" w:fill="FFFFFF"/>
              </w:rPr>
              <w:t>Αξιολόγηση</w:t>
            </w:r>
            <w:r w:rsidR="00404CED">
              <w:rPr>
                <w:color w:val="000000"/>
                <w:sz w:val="24"/>
                <w:szCs w:val="24"/>
                <w:shd w:val="clear" w:color="auto" w:fill="FFFFFF"/>
              </w:rPr>
              <w:t xml:space="preserve"> αθλητικών δρώμενων </w:t>
            </w:r>
            <w:r>
              <w:rPr>
                <w:color w:val="000000"/>
                <w:sz w:val="24"/>
                <w:szCs w:val="24"/>
                <w:shd w:val="clear" w:color="auto" w:fill="FFFFFF"/>
              </w:rPr>
              <w:t>.</w:t>
            </w:r>
          </w:p>
        </w:tc>
      </w:tr>
      <w:tr w:rsidR="00BA1D4B" w:rsidRPr="001A3F9B" w:rsidTr="00BF6D32">
        <w:tc>
          <w:tcPr>
            <w:tcW w:w="8472" w:type="dxa"/>
          </w:tcPr>
          <w:p w:rsidR="00BA1D4B" w:rsidRPr="002B1867" w:rsidRDefault="00404CED" w:rsidP="00BA1D4B">
            <w:pPr>
              <w:numPr>
                <w:ilvl w:val="0"/>
                <w:numId w:val="8"/>
              </w:numPr>
              <w:autoSpaceDE w:val="0"/>
              <w:autoSpaceDN w:val="0"/>
              <w:spacing w:after="0"/>
              <w:rPr>
                <w:color w:val="000000"/>
                <w:sz w:val="24"/>
                <w:szCs w:val="24"/>
                <w:shd w:val="clear" w:color="auto" w:fill="FFFFFF"/>
              </w:rPr>
            </w:pPr>
            <w:r>
              <w:rPr>
                <w:sz w:val="24"/>
                <w:szCs w:val="24"/>
              </w:rPr>
              <w:t xml:space="preserve">Μελλοντικές τάσεις στην οργάνωση αθλητικών δρώμενων. </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Default="00927595" w:rsidP="00907017">
            <w:pPr>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Πρόσωπο με πρόσωπο</w:t>
            </w:r>
            <w:r w:rsidR="00BA1D4B">
              <w:rPr>
                <w:rFonts w:ascii="Calibri" w:eastAsia="Times New Roman" w:hAnsi="Calibri" w:cs="Arial"/>
                <w:color w:val="244061" w:themeColor="accent1" w:themeShade="80"/>
              </w:rPr>
              <w:t xml:space="preserve"> (δια ζώσης)</w:t>
            </w:r>
          </w:p>
          <w:p w:rsidR="00BA1D4B" w:rsidRPr="00C17BE0" w:rsidRDefault="00BA1D4B" w:rsidP="00907017">
            <w:pPr>
              <w:rPr>
                <w:iCs/>
                <w:color w:val="244061" w:themeColor="accent1" w:themeShade="80"/>
              </w:rPr>
            </w:pPr>
            <w:r>
              <w:rPr>
                <w:rFonts w:ascii="Calibri" w:eastAsia="Times New Roman" w:hAnsi="Calibri" w:cs="Arial"/>
                <w:color w:val="244061" w:themeColor="accent1" w:themeShade="80"/>
              </w:rPr>
              <w:t xml:space="preserve">Εξ αποστάσεως σύγχρονες και ασύγχρονες διαλέξεις </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lastRenderedPageBreak/>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907017" w:rsidRPr="00C17BE0" w:rsidRDefault="00927595" w:rsidP="00050B81">
            <w:pPr>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Χρήση Τ.Π.Ε. στη Διδασκαλία και στην Επικοινωνία με τους φοιτητές</w:t>
            </w:r>
          </w:p>
          <w:p w:rsidR="0093078D" w:rsidRPr="00C17BE0" w:rsidRDefault="0093078D" w:rsidP="00050B81">
            <w:pPr>
              <w:spacing w:after="0" w:line="240" w:lineRule="auto"/>
              <w:rPr>
                <w:rFonts w:ascii="Calibri" w:eastAsia="Times New Roman" w:hAnsi="Calibri" w:cs="Arial"/>
                <w:color w:val="244061" w:themeColor="accent1" w:themeShade="80"/>
              </w:rPr>
            </w:pPr>
          </w:p>
          <w:p w:rsidR="0093078D" w:rsidRPr="00C17BE0" w:rsidRDefault="0093078D" w:rsidP="00050B81">
            <w:pPr>
              <w:spacing w:after="0" w:line="240" w:lineRule="auto"/>
              <w:rPr>
                <w:rFonts w:ascii="Calibri" w:eastAsia="Times New Roman" w:hAnsi="Calibri" w:cs="Arial"/>
                <w:color w:val="244061" w:themeColor="accent1" w:themeShade="80"/>
              </w:rPr>
            </w:pPr>
          </w:p>
          <w:p w:rsidR="0093078D" w:rsidRPr="00C17BE0" w:rsidRDefault="0093078D" w:rsidP="00050B81">
            <w:pPr>
              <w:spacing w:after="0" w:line="240" w:lineRule="auto"/>
              <w:rPr>
                <w:rFonts w:ascii="Calibri" w:eastAsia="Times New Roman" w:hAnsi="Calibri" w:cs="Arial"/>
                <w:b/>
                <w:color w:val="244061" w:themeColor="accent1" w:themeShade="80"/>
              </w:rPr>
            </w:pP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tblPr>
            <w:tblGrid>
              <w:gridCol w:w="2467"/>
              <w:gridCol w:w="2468"/>
            </w:tblGrid>
            <w:tr w:rsidR="00C17BE0" w:rsidRPr="00C17BE0" w:rsidTr="00D05B60">
              <w:tc>
                <w:tcPr>
                  <w:tcW w:w="2467" w:type="dxa"/>
                  <w:shd w:val="clear" w:color="auto" w:fill="DDD9C3" w:themeFill="background2" w:themeFillShade="E6"/>
                  <w:vAlign w:val="center"/>
                </w:tcPr>
                <w:p w:rsidR="00050B81" w:rsidRPr="00C17BE0" w:rsidRDefault="00050B81" w:rsidP="00050B81">
                  <w:pPr>
                    <w:jc w:val="center"/>
                    <w:rPr>
                      <w:rFonts w:ascii="Calibri" w:hAnsi="Calibri" w:cs="Arial"/>
                      <w:b/>
                      <w:i/>
                      <w:color w:val="244061" w:themeColor="accent1" w:themeShade="80"/>
                    </w:rPr>
                  </w:pPr>
                  <w:r w:rsidRPr="00C17BE0">
                    <w:rPr>
                      <w:rFonts w:ascii="Calibri" w:hAnsi="Calibri" w:cs="Arial"/>
                      <w:b/>
                      <w:i/>
                      <w:color w:val="244061" w:themeColor="accent1" w:themeShade="80"/>
                    </w:rPr>
                    <w:t>Δραστηριότητα</w:t>
                  </w:r>
                </w:p>
              </w:tc>
              <w:tc>
                <w:tcPr>
                  <w:tcW w:w="2468" w:type="dxa"/>
                  <w:shd w:val="clear" w:color="auto" w:fill="DDD9C3" w:themeFill="background2" w:themeFillShade="E6"/>
                  <w:vAlign w:val="center"/>
                </w:tcPr>
                <w:p w:rsidR="00050B81" w:rsidRPr="00C17BE0" w:rsidRDefault="00050B81" w:rsidP="00050B81">
                  <w:pPr>
                    <w:jc w:val="center"/>
                    <w:rPr>
                      <w:rFonts w:ascii="Calibri" w:hAnsi="Calibri" w:cs="Arial"/>
                      <w:b/>
                      <w:i/>
                      <w:color w:val="244061" w:themeColor="accent1" w:themeShade="80"/>
                    </w:rPr>
                  </w:pPr>
                  <w:r w:rsidRPr="00C17BE0">
                    <w:rPr>
                      <w:rFonts w:ascii="Calibri" w:hAnsi="Calibri" w:cs="Arial"/>
                      <w:b/>
                      <w:i/>
                      <w:color w:val="244061" w:themeColor="accent1" w:themeShade="80"/>
                    </w:rPr>
                    <w:t>ΦόρτοςΕργασίας Εξαμήνου</w:t>
                  </w:r>
                </w:p>
              </w:tc>
            </w:tr>
            <w:tr w:rsidR="00C17BE0" w:rsidRPr="00C17BE0" w:rsidTr="00D05B60">
              <w:tc>
                <w:tcPr>
                  <w:tcW w:w="2467" w:type="dxa"/>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Διαλέξεις</w:t>
                  </w:r>
                </w:p>
              </w:tc>
              <w:tc>
                <w:tcPr>
                  <w:tcW w:w="2468" w:type="dxa"/>
                </w:tcPr>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60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Σεμινάρια</w:t>
                  </w:r>
                </w:p>
              </w:tc>
              <w:tc>
                <w:tcPr>
                  <w:tcW w:w="2468" w:type="dxa"/>
                </w:tcPr>
                <w:p w:rsidR="00506321" w:rsidRPr="00C17BE0" w:rsidRDefault="00927595"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10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Μελέτη και ανάλυση βιβλιογραφίας</w:t>
                  </w:r>
                </w:p>
              </w:tc>
              <w:tc>
                <w:tcPr>
                  <w:tcW w:w="2468" w:type="dxa"/>
                </w:tcPr>
                <w:p w:rsidR="00506321" w:rsidRPr="00C17BE0" w:rsidRDefault="00506321" w:rsidP="00551F1C">
                  <w:pPr>
                    <w:jc w:val="center"/>
                    <w:rPr>
                      <w:rFonts w:ascii="Calibri" w:hAnsi="Calibri" w:cs="Arial"/>
                      <w:color w:val="244061" w:themeColor="accent1" w:themeShade="80"/>
                      <w:sz w:val="22"/>
                      <w:szCs w:val="22"/>
                      <w:lang w:val="el-GR"/>
                    </w:rPr>
                  </w:pPr>
                </w:p>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4</w:t>
                  </w:r>
                  <w:r w:rsidR="00113F37" w:rsidRPr="00C17BE0">
                    <w:rPr>
                      <w:rFonts w:ascii="Calibri" w:hAnsi="Calibri" w:cs="Arial"/>
                      <w:color w:val="244061" w:themeColor="accent1" w:themeShade="80"/>
                      <w:sz w:val="22"/>
                      <w:szCs w:val="22"/>
                      <w:lang w:val="el-GR"/>
                    </w:rPr>
                    <w:t>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 xml:space="preserve">Εκπόνηση </w:t>
                  </w:r>
                  <w:r w:rsidRPr="00C17BE0">
                    <w:rPr>
                      <w:rFonts w:asciiTheme="minorHAnsi" w:hAnsiTheme="minorHAnsi" w:cstheme="minorBidi"/>
                      <w:iCs/>
                      <w:color w:val="244061" w:themeColor="accent1" w:themeShade="80"/>
                      <w:sz w:val="22"/>
                      <w:szCs w:val="22"/>
                    </w:rPr>
                    <w:t xml:space="preserve">project </w:t>
                  </w:r>
                  <w:r w:rsidRPr="00C17BE0">
                    <w:rPr>
                      <w:rFonts w:asciiTheme="minorHAnsi" w:hAnsiTheme="minorHAnsi" w:cstheme="minorBidi"/>
                      <w:iCs/>
                      <w:color w:val="244061" w:themeColor="accent1" w:themeShade="80"/>
                      <w:sz w:val="22"/>
                      <w:szCs w:val="22"/>
                      <w:lang w:val="el-GR"/>
                    </w:rPr>
                    <w:t>ομαδικού</w:t>
                  </w:r>
                </w:p>
              </w:tc>
              <w:tc>
                <w:tcPr>
                  <w:tcW w:w="2468" w:type="dxa"/>
                </w:tcPr>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40</w:t>
                  </w:r>
                </w:p>
              </w:tc>
            </w:tr>
            <w:tr w:rsidR="00C17BE0" w:rsidRPr="00C17BE0" w:rsidTr="00D05B60">
              <w:tc>
                <w:tcPr>
                  <w:tcW w:w="2467" w:type="dxa"/>
                  <w:shd w:val="clear" w:color="auto" w:fill="auto"/>
                </w:tcPr>
                <w:p w:rsidR="00506321" w:rsidRPr="00C17BE0" w:rsidRDefault="00927595" w:rsidP="000C17BA">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 xml:space="preserve">Δημιουργία </w:t>
                  </w:r>
                  <w:r w:rsidR="000C17BA">
                    <w:rPr>
                      <w:rFonts w:asciiTheme="minorHAnsi" w:hAnsiTheme="minorHAnsi" w:cstheme="minorBidi"/>
                      <w:iCs/>
                      <w:color w:val="244061" w:themeColor="accent1" w:themeShade="80"/>
                      <w:sz w:val="22"/>
                      <w:szCs w:val="22"/>
                      <w:lang w:val="el-GR"/>
                    </w:rPr>
                    <w:t>ατομικής εργασίας</w:t>
                  </w:r>
                </w:p>
              </w:tc>
              <w:tc>
                <w:tcPr>
                  <w:tcW w:w="2468" w:type="dxa"/>
                </w:tcPr>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40</w:t>
                  </w:r>
                </w:p>
              </w:tc>
            </w:tr>
            <w:tr w:rsidR="00C17BE0" w:rsidRPr="00C17BE0" w:rsidTr="00D05B60">
              <w:tc>
                <w:tcPr>
                  <w:tcW w:w="2467" w:type="dxa"/>
                  <w:shd w:val="clear" w:color="auto" w:fill="auto"/>
                </w:tcPr>
                <w:p w:rsidR="00506321" w:rsidRPr="00C17BE0" w:rsidRDefault="00506321" w:rsidP="009846C0">
                  <w:pPr>
                    <w:rPr>
                      <w:rFonts w:asciiTheme="minorHAnsi" w:hAnsiTheme="minorHAnsi" w:cstheme="minorBidi"/>
                      <w:iCs/>
                      <w:color w:val="244061" w:themeColor="accent1" w:themeShade="80"/>
                      <w:sz w:val="22"/>
                      <w:szCs w:val="22"/>
                    </w:rPr>
                  </w:pPr>
                </w:p>
              </w:tc>
              <w:tc>
                <w:tcPr>
                  <w:tcW w:w="2468" w:type="dxa"/>
                </w:tcPr>
                <w:p w:rsidR="00506321" w:rsidRPr="00C17BE0" w:rsidRDefault="00506321" w:rsidP="00050B81">
                  <w:pPr>
                    <w:rPr>
                      <w:rFonts w:ascii="Calibri" w:hAnsi="Calibri" w:cs="Arial"/>
                      <w:color w:val="244061" w:themeColor="accent1" w:themeShade="80"/>
                      <w:sz w:val="22"/>
                      <w:szCs w:val="22"/>
                      <w:lang w:val="el-GR"/>
                    </w:rPr>
                  </w:pPr>
                </w:p>
              </w:tc>
            </w:tr>
            <w:tr w:rsidR="00C17BE0" w:rsidRPr="00C17BE0" w:rsidTr="00D05B60">
              <w:tc>
                <w:tcPr>
                  <w:tcW w:w="2467" w:type="dxa"/>
                  <w:shd w:val="clear" w:color="auto" w:fill="auto"/>
                </w:tcPr>
                <w:p w:rsidR="00506321" w:rsidRPr="00C17BE0" w:rsidRDefault="00506321" w:rsidP="009846C0">
                  <w:pPr>
                    <w:rPr>
                      <w:rFonts w:asciiTheme="minorHAnsi" w:hAnsiTheme="minorHAnsi" w:cstheme="minorBidi"/>
                      <w:iCs/>
                      <w:color w:val="244061" w:themeColor="accent1" w:themeShade="80"/>
                      <w:sz w:val="22"/>
                      <w:szCs w:val="22"/>
                      <w:lang w:val="el-GR"/>
                    </w:rPr>
                  </w:pPr>
                </w:p>
              </w:tc>
              <w:tc>
                <w:tcPr>
                  <w:tcW w:w="2468" w:type="dxa"/>
                </w:tcPr>
                <w:p w:rsidR="00506321" w:rsidRPr="00C17BE0" w:rsidRDefault="00506321" w:rsidP="003B45BC">
                  <w:pPr>
                    <w:jc w:val="center"/>
                    <w:rPr>
                      <w:rFonts w:ascii="Calibri" w:hAnsi="Calibri" w:cs="Arial"/>
                      <w:color w:val="244061" w:themeColor="accent1" w:themeShade="80"/>
                      <w:sz w:val="22"/>
                      <w:szCs w:val="22"/>
                      <w:lang w:val="el-GR"/>
                    </w:rPr>
                  </w:pPr>
                </w:p>
              </w:tc>
            </w:tr>
            <w:tr w:rsidR="00C17BE0" w:rsidRPr="00C17BE0" w:rsidTr="00D05B60">
              <w:tc>
                <w:tcPr>
                  <w:tcW w:w="2467" w:type="dxa"/>
                </w:tcPr>
                <w:p w:rsidR="00506321" w:rsidRPr="00C17BE0" w:rsidRDefault="00D05B60"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Σύνολο Μαθήματος</w:t>
                  </w:r>
                </w:p>
              </w:tc>
              <w:tc>
                <w:tcPr>
                  <w:tcW w:w="2468" w:type="dxa"/>
                  <w:vAlign w:val="center"/>
                </w:tcPr>
                <w:p w:rsidR="00506321" w:rsidRPr="00C17BE0" w:rsidRDefault="000C17BA" w:rsidP="00D05B60">
                  <w:pPr>
                    <w:jc w:val="center"/>
                    <w:rPr>
                      <w:rFonts w:ascii="Calibri" w:hAnsi="Calibri" w:cs="Arial"/>
                      <w:b/>
                      <w:color w:val="244061" w:themeColor="accent1" w:themeShade="80"/>
                      <w:sz w:val="22"/>
                      <w:szCs w:val="22"/>
                      <w:lang w:val="el-GR"/>
                    </w:rPr>
                  </w:pPr>
                  <w:r>
                    <w:rPr>
                      <w:rFonts w:ascii="Calibri" w:hAnsi="Calibri" w:cs="Arial"/>
                      <w:b/>
                      <w:color w:val="244061" w:themeColor="accent1" w:themeShade="80"/>
                      <w:sz w:val="22"/>
                      <w:szCs w:val="22"/>
                      <w:lang w:val="el-GR"/>
                    </w:rPr>
                    <w:t>19</w:t>
                  </w:r>
                  <w:r w:rsidR="00D05B60" w:rsidRPr="00C17BE0">
                    <w:rPr>
                      <w:rFonts w:ascii="Calibri" w:hAnsi="Calibri" w:cs="Arial"/>
                      <w:b/>
                      <w:color w:val="244061" w:themeColor="accent1" w:themeShade="80"/>
                      <w:sz w:val="22"/>
                      <w:szCs w:val="22"/>
                      <w:lang w:val="el-GR"/>
                    </w:rPr>
                    <w:t>0</w:t>
                  </w:r>
                </w:p>
              </w:tc>
            </w:tr>
          </w:tbl>
          <w:p w:rsidR="00050B81" w:rsidRPr="00C17BE0" w:rsidRDefault="00050B81" w:rsidP="00050B81">
            <w:pPr>
              <w:spacing w:after="0" w:line="240" w:lineRule="auto"/>
              <w:rPr>
                <w:rFonts w:ascii="Tahoma" w:eastAsia="Times New Roman" w:hAnsi="Tahoma" w:cs="Tahoma"/>
                <w:color w:val="244061" w:themeColor="accent1" w:themeShade="80"/>
                <w:lang w:val="en-US"/>
              </w:rPr>
            </w:pPr>
          </w:p>
        </w:tc>
      </w:tr>
      <w:tr w:rsidR="00050B81" w:rsidRPr="00641E0B" w:rsidTr="00C16B57">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050B81" w:rsidRPr="00C17BE0" w:rsidRDefault="00050B81" w:rsidP="00B25922">
            <w:pPr>
              <w:spacing w:before="60" w:after="0" w:line="240" w:lineRule="auto"/>
              <w:rPr>
                <w:rFonts w:ascii="Calibri" w:eastAsia="Times New Roman" w:hAnsi="Calibri" w:cs="Arial"/>
                <w:color w:val="244061" w:themeColor="accent1" w:themeShade="80"/>
                <w:sz w:val="20"/>
                <w:szCs w:val="20"/>
              </w:rPr>
            </w:pPr>
          </w:p>
          <w:p w:rsidR="00C0168F" w:rsidRPr="00C17BE0" w:rsidRDefault="00C0168F" w:rsidP="00B25922">
            <w:pPr>
              <w:spacing w:before="60" w:after="0" w:line="240" w:lineRule="auto"/>
              <w:rPr>
                <w:rFonts w:ascii="Calibri" w:eastAsia="Times New Roman" w:hAnsi="Calibri" w:cs="Arial"/>
                <w:color w:val="244061" w:themeColor="accent1" w:themeShade="80"/>
              </w:rPr>
            </w:pPr>
          </w:p>
          <w:p w:rsidR="00C16B57" w:rsidRPr="00BD12D7" w:rsidRDefault="00C16B57" w:rsidP="00C16B57">
            <w:pPr>
              <w:numPr>
                <w:ilvl w:val="12"/>
                <w:numId w:val="0"/>
              </w:numPr>
              <w:tabs>
                <w:tab w:val="left" w:pos="360"/>
              </w:tabs>
              <w:rPr>
                <w:b/>
                <w:sz w:val="24"/>
                <w:szCs w:val="24"/>
              </w:rPr>
            </w:pPr>
            <w:r w:rsidRPr="00BD12D7">
              <w:rPr>
                <w:sz w:val="24"/>
                <w:szCs w:val="24"/>
              </w:rPr>
              <w:t>Η αξιολόγηση των φοιτητών θα γίνει:</w:t>
            </w:r>
          </w:p>
          <w:p w:rsidR="00C16B57" w:rsidRPr="00C16B57" w:rsidRDefault="00C16B57" w:rsidP="00C16B57">
            <w:pPr>
              <w:numPr>
                <w:ilvl w:val="0"/>
                <w:numId w:val="9"/>
              </w:numPr>
              <w:tabs>
                <w:tab w:val="left" w:pos="360"/>
              </w:tabs>
              <w:autoSpaceDE w:val="0"/>
              <w:autoSpaceDN w:val="0"/>
              <w:spacing w:after="0" w:line="240" w:lineRule="auto"/>
              <w:jc w:val="both"/>
              <w:rPr>
                <w:sz w:val="16"/>
                <w:szCs w:val="16"/>
              </w:rPr>
            </w:pPr>
            <w:r w:rsidRPr="00C16B57">
              <w:rPr>
                <w:sz w:val="16"/>
                <w:szCs w:val="16"/>
              </w:rPr>
              <w:t xml:space="preserve">Ατομική Εργασία.  Αξιολόγηση από ερευνητικό άρθρο της τελευταίας μετά του 2010  με θέμα το Αθλητικός Τουρισμός Ψυχαγωγία και Αναψυχή. Παραδοτέα α) άρθρο, β) Παρουσίαση  power point  (15 διαφάνειες) γ) κείμενο 1000 λέξεις word.  </w:t>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t xml:space="preserve">        </w:t>
            </w:r>
            <w:r>
              <w:rPr>
                <w:sz w:val="16"/>
                <w:szCs w:val="16"/>
              </w:rPr>
              <w:t xml:space="preserve">                                                          </w:t>
            </w:r>
            <w:r w:rsidRPr="00C16B57">
              <w:rPr>
                <w:sz w:val="16"/>
                <w:szCs w:val="16"/>
              </w:rPr>
              <w:t>25%</w:t>
            </w:r>
          </w:p>
          <w:p w:rsidR="00C16B57" w:rsidRPr="00C16B57" w:rsidRDefault="00C16B57" w:rsidP="00C16B57">
            <w:pPr>
              <w:tabs>
                <w:tab w:val="left" w:pos="360"/>
              </w:tabs>
              <w:ind w:left="720" w:hanging="360"/>
              <w:rPr>
                <w:sz w:val="16"/>
                <w:szCs w:val="16"/>
              </w:rPr>
            </w:pPr>
            <w:r w:rsidRPr="00C16B57">
              <w:rPr>
                <w:sz w:val="16"/>
                <w:szCs w:val="16"/>
              </w:rPr>
              <w:t>2)</w:t>
            </w:r>
            <w:r>
              <w:rPr>
                <w:sz w:val="24"/>
                <w:szCs w:val="24"/>
              </w:rPr>
              <w:t xml:space="preserve"> </w:t>
            </w:r>
            <w:r w:rsidRPr="00C16B57">
              <w:rPr>
                <w:sz w:val="16"/>
                <w:szCs w:val="16"/>
              </w:rPr>
              <w:t>Ομαδική εργασία.  Συγγραφή εργασίας (βιβλιογραφική ανασκόπηση) Παραδοτέα α) Παρουσίαση  power point (25 διαφάνειες), β) κείμενο 2500 λέξεις word.</w:t>
            </w:r>
            <w:r>
              <w:rPr>
                <w:sz w:val="24"/>
                <w:szCs w:val="24"/>
              </w:rPr>
              <w:tab/>
            </w:r>
            <w:r w:rsidRPr="00D34B7D">
              <w:rPr>
                <w:sz w:val="24"/>
                <w:szCs w:val="24"/>
              </w:rPr>
              <w:tab/>
            </w:r>
            <w:r w:rsidRPr="00D34B7D">
              <w:rPr>
                <w:sz w:val="24"/>
                <w:szCs w:val="24"/>
              </w:rPr>
              <w:tab/>
            </w:r>
            <w:r w:rsidRPr="00D34B7D">
              <w:rPr>
                <w:sz w:val="24"/>
                <w:szCs w:val="24"/>
              </w:rPr>
              <w:tab/>
            </w:r>
            <w:r w:rsidRPr="00D34B7D">
              <w:rPr>
                <w:sz w:val="24"/>
                <w:szCs w:val="24"/>
              </w:rPr>
              <w:tab/>
            </w:r>
            <w:r>
              <w:rPr>
                <w:sz w:val="24"/>
                <w:szCs w:val="24"/>
              </w:rPr>
              <w:t xml:space="preserve">                                 </w:t>
            </w:r>
            <w:r w:rsidRPr="00C16B57">
              <w:rPr>
                <w:sz w:val="16"/>
                <w:szCs w:val="16"/>
              </w:rPr>
              <w:t>25%</w:t>
            </w:r>
          </w:p>
          <w:p w:rsidR="00C16B57" w:rsidRPr="00C16B57" w:rsidRDefault="00C16B57" w:rsidP="00C16B57">
            <w:pPr>
              <w:tabs>
                <w:tab w:val="left" w:pos="360"/>
              </w:tabs>
              <w:ind w:left="720" w:hanging="360"/>
              <w:rPr>
                <w:sz w:val="16"/>
                <w:szCs w:val="16"/>
              </w:rPr>
            </w:pPr>
            <w:r w:rsidRPr="00C16B57">
              <w:rPr>
                <w:sz w:val="16"/>
                <w:szCs w:val="16"/>
              </w:rPr>
              <w:t>3) Εξετάσεις εξ αποστάσεως .</w:t>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t xml:space="preserve">  </w:t>
            </w:r>
            <w:r w:rsidRPr="00C16B57">
              <w:rPr>
                <w:sz w:val="16"/>
                <w:szCs w:val="16"/>
              </w:rPr>
              <w:tab/>
              <w:t xml:space="preserve">          </w:t>
            </w:r>
            <w:r>
              <w:rPr>
                <w:sz w:val="16"/>
                <w:szCs w:val="16"/>
              </w:rPr>
              <w:t xml:space="preserve">                                      </w:t>
            </w:r>
            <w:r w:rsidRPr="00C16B57">
              <w:rPr>
                <w:sz w:val="16"/>
                <w:szCs w:val="16"/>
              </w:rPr>
              <w:t>40%</w:t>
            </w:r>
          </w:p>
          <w:p w:rsidR="00C16B57" w:rsidRPr="00C16B57" w:rsidRDefault="00C16B57" w:rsidP="00C16B57">
            <w:pPr>
              <w:tabs>
                <w:tab w:val="left" w:pos="360"/>
              </w:tabs>
              <w:ind w:left="720" w:hanging="360"/>
              <w:rPr>
                <w:sz w:val="16"/>
                <w:szCs w:val="16"/>
              </w:rPr>
            </w:pPr>
            <w:r w:rsidRPr="00C16B57">
              <w:rPr>
                <w:sz w:val="16"/>
                <w:szCs w:val="16"/>
              </w:rPr>
              <w:t>4) Συμμετοχή στο Μάθημα</w:t>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t xml:space="preserve">          </w:t>
            </w:r>
            <w:r>
              <w:rPr>
                <w:sz w:val="16"/>
                <w:szCs w:val="16"/>
              </w:rPr>
              <w:t xml:space="preserve">                                                           </w:t>
            </w:r>
            <w:r w:rsidRPr="00C16B57">
              <w:rPr>
                <w:sz w:val="16"/>
                <w:szCs w:val="16"/>
              </w:rPr>
              <w:t>10%</w:t>
            </w:r>
          </w:p>
          <w:p w:rsidR="00FF37E2" w:rsidRPr="00C17BE0" w:rsidRDefault="00FF37E2" w:rsidP="00C16B57">
            <w:pPr>
              <w:spacing w:before="60" w:after="0" w:line="240" w:lineRule="auto"/>
              <w:rPr>
                <w:rFonts w:ascii="Calibri" w:eastAsia="Times New Roman" w:hAnsi="Calibri" w:cs="Arial"/>
                <w:i/>
                <w:color w:val="244061" w:themeColor="accent1" w:themeShade="80"/>
                <w:sz w:val="16"/>
                <w:szCs w:val="16"/>
              </w:rPr>
            </w:pPr>
          </w:p>
        </w:tc>
      </w:tr>
      <w:tr w:rsidR="00C16B57" w:rsidRPr="00641E0B" w:rsidTr="00D05B60">
        <w:tc>
          <w:tcPr>
            <w:tcW w:w="3306" w:type="dxa"/>
            <w:shd w:val="clear" w:color="auto" w:fill="DDD9C3" w:themeFill="background2" w:themeFillShade="E6"/>
          </w:tcPr>
          <w:p w:rsidR="00C16B57" w:rsidRPr="00050B81" w:rsidRDefault="00C16B57" w:rsidP="00050B81">
            <w:pPr>
              <w:spacing w:after="0" w:line="240" w:lineRule="auto"/>
              <w:jc w:val="right"/>
              <w:rPr>
                <w:rFonts w:ascii="Calibri" w:eastAsia="Times New Roman" w:hAnsi="Calibri" w:cs="Arial"/>
                <w:b/>
                <w:sz w:val="20"/>
                <w:szCs w:val="20"/>
              </w:rPr>
            </w:pPr>
          </w:p>
        </w:tc>
        <w:tc>
          <w:tcPr>
            <w:tcW w:w="5166" w:type="dxa"/>
            <w:tcBorders>
              <w:bottom w:val="single" w:sz="4" w:space="0" w:color="auto"/>
            </w:tcBorders>
          </w:tcPr>
          <w:p w:rsidR="00C16B57" w:rsidRPr="00C17BE0" w:rsidRDefault="00C16B57" w:rsidP="00B25922">
            <w:pPr>
              <w:spacing w:before="60" w:after="0" w:line="240" w:lineRule="auto"/>
              <w:rPr>
                <w:rFonts w:ascii="Calibri" w:eastAsia="Times New Roman" w:hAnsi="Calibri" w:cs="Arial"/>
                <w:color w:val="244061" w:themeColor="accent1" w:themeShade="80"/>
                <w:sz w:val="20"/>
                <w:szCs w:val="20"/>
              </w:rPr>
            </w:pP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050B81" w:rsidRPr="003A2EAF" w:rsidTr="00BF6D32">
        <w:tc>
          <w:tcPr>
            <w:tcW w:w="8472" w:type="dxa"/>
          </w:tcPr>
          <w:p w:rsidR="003519FD" w:rsidRPr="003519FD" w:rsidRDefault="007B2AE5" w:rsidP="003519FD">
            <w:pPr>
              <w:numPr>
                <w:ilvl w:val="0"/>
                <w:numId w:val="10"/>
              </w:numPr>
              <w:autoSpaceDE w:val="0"/>
              <w:autoSpaceDN w:val="0"/>
              <w:spacing w:after="0"/>
              <w:rPr>
                <w:lang w:val="en-US"/>
              </w:rPr>
            </w:pPr>
            <w:r w:rsidRPr="003519FD">
              <w:rPr>
                <w:rFonts w:ascii="Calibri" w:hAnsi="Calibri" w:cs="Arial"/>
                <w:color w:val="244061" w:themeColor="accent1" w:themeShade="80"/>
                <w:sz w:val="20"/>
                <w:szCs w:val="20"/>
                <w:lang w:val="en-US"/>
              </w:rPr>
              <w:lastRenderedPageBreak/>
              <w:t xml:space="preserve">1. </w:t>
            </w:r>
            <w:r w:rsidR="003519FD" w:rsidRPr="00D97518">
              <w:rPr>
                <w:lang w:val="en-US"/>
              </w:rPr>
              <w:t xml:space="preserve">Tsitskari E., Vernadakis N., Foridou A. &amp; Bebetsos E. (2015). Assessing Adolescents’ Sport Participation Motives; Psychometric Evaluation of BRSQ. </w:t>
            </w:r>
            <w:r w:rsidR="003519FD" w:rsidRPr="00D97518">
              <w:rPr>
                <w:i/>
                <w:lang w:val="en-US"/>
              </w:rPr>
              <w:t>Motricidade, 11</w:t>
            </w:r>
            <w:r w:rsidR="003519FD" w:rsidRPr="00D97518">
              <w:rPr>
                <w:lang w:val="en-US"/>
              </w:rPr>
              <w:t>(1), 64-77.</w:t>
            </w:r>
          </w:p>
          <w:p w:rsidR="003519FD" w:rsidRPr="00D97518" w:rsidRDefault="003519FD" w:rsidP="003519FD">
            <w:pPr>
              <w:numPr>
                <w:ilvl w:val="0"/>
                <w:numId w:val="10"/>
              </w:numPr>
              <w:autoSpaceDE w:val="0"/>
              <w:autoSpaceDN w:val="0"/>
              <w:spacing w:after="0"/>
              <w:rPr>
                <w:lang w:val="en-US"/>
              </w:rPr>
            </w:pPr>
            <w:r w:rsidRPr="00D97518">
              <w:rPr>
                <w:lang w:val="en-US"/>
              </w:rPr>
              <w:t xml:space="preserve">Alexandris K., Funk, D.C. &amp; Pritchard, M. (2011). The impact of constraints on motivation, activity attachment, and skier intentions to continue. </w:t>
            </w:r>
            <w:r w:rsidRPr="00D97518">
              <w:rPr>
                <w:i/>
                <w:lang w:val="en-US"/>
              </w:rPr>
              <w:t>Journal of Leisure Research, 43</w:t>
            </w:r>
            <w:r w:rsidRPr="00D97518">
              <w:rPr>
                <w:lang w:val="en-US"/>
              </w:rPr>
              <w:t>(1), 56-79.</w:t>
            </w:r>
          </w:p>
          <w:p w:rsidR="003519FD" w:rsidRPr="00D97518" w:rsidRDefault="003519FD" w:rsidP="003519FD">
            <w:pPr>
              <w:numPr>
                <w:ilvl w:val="0"/>
                <w:numId w:val="10"/>
              </w:numPr>
              <w:spacing w:after="0"/>
              <w:jc w:val="both"/>
              <w:rPr>
                <w:lang w:val="en-GB"/>
              </w:rPr>
            </w:pPr>
            <w:r w:rsidRPr="00D97518">
              <w:rPr>
                <w:lang w:val="en-GB"/>
              </w:rPr>
              <w:t xml:space="preserve">Yfantidou G., Nikou M. &amp; Matsouka O. (2018). Winter tourism in Greece: an approach to tourists’ behavior and needs. GeoJournal of Tourism and Geosites, 21(1), 74-87. Early view.  http://gtg.webhost.uoradea.ro/PDF/GTG-1-2018/272_Yfantidou.pdf </w:t>
            </w:r>
          </w:p>
          <w:p w:rsidR="003519FD" w:rsidRPr="00D97518" w:rsidRDefault="003519FD" w:rsidP="003519FD">
            <w:pPr>
              <w:numPr>
                <w:ilvl w:val="0"/>
                <w:numId w:val="10"/>
              </w:numPr>
              <w:spacing w:after="0"/>
              <w:jc w:val="both"/>
              <w:rPr>
                <w:lang w:val="en-GB"/>
              </w:rPr>
            </w:pPr>
            <w:r w:rsidRPr="00D97518">
              <w:rPr>
                <w:lang w:val="en-GB"/>
              </w:rPr>
              <w:t xml:space="preserve">Yfantidou G., &amp; Anthopoulos P. (2017). Designing of Outdoor Green Recreational Parks. Theoretical and Empirical Researches in Urban Management, 12(2), 5-18. http://www.um.ase.ro/no122/1.pdf </w:t>
            </w:r>
          </w:p>
          <w:p w:rsidR="003519FD" w:rsidRPr="00D97518" w:rsidRDefault="003519FD" w:rsidP="003519FD">
            <w:pPr>
              <w:numPr>
                <w:ilvl w:val="0"/>
                <w:numId w:val="10"/>
              </w:numPr>
              <w:spacing w:after="0"/>
              <w:jc w:val="both"/>
              <w:rPr>
                <w:lang w:val="en-GB"/>
              </w:rPr>
            </w:pPr>
            <w:r w:rsidRPr="00D97518">
              <w:rPr>
                <w:lang w:val="en-GB"/>
              </w:rPr>
              <w:t xml:space="preserve">Yfantidou G., Spyridopoulou E., Kouthouris Ch., Balaska P., Matarazzo M. &amp; Costa G. (2017). The future of sustainable tourism development for the Greek enterprises that provide sport tourism. Tourism Economics, 23(5), 1155-1162. DOI: 10.1177/1354816616686415 https://doi.org/10.1177/1354816616686415 (http://journals.sagepub.com/doi/abs/10.1177/1354816616686415) </w:t>
            </w:r>
          </w:p>
          <w:p w:rsidR="003519FD" w:rsidRPr="00D97518" w:rsidRDefault="003519FD" w:rsidP="003519FD">
            <w:pPr>
              <w:numPr>
                <w:ilvl w:val="0"/>
                <w:numId w:val="10"/>
              </w:numPr>
              <w:spacing w:after="0"/>
              <w:jc w:val="both"/>
              <w:rPr>
                <w:lang w:val="en-GB"/>
              </w:rPr>
            </w:pPr>
            <w:r w:rsidRPr="00D97518">
              <w:rPr>
                <w:lang w:val="en-GB"/>
              </w:rPr>
              <w:t>Yfantidou G. &amp; Matarazzo M. (2017). The Future of sustainable tourism in developing countries. Sustainable Development, 25, 459-466. DOI: 10.1002/sd.1655  (http://onlinelibrary.wiley.com/doi/10.1002/sd.1655/full)</w:t>
            </w:r>
          </w:p>
          <w:p w:rsidR="003519FD" w:rsidRPr="00D97518" w:rsidRDefault="003519FD" w:rsidP="003519FD">
            <w:pPr>
              <w:numPr>
                <w:ilvl w:val="0"/>
                <w:numId w:val="10"/>
              </w:numPr>
              <w:spacing w:after="0"/>
              <w:jc w:val="both"/>
              <w:rPr>
                <w:lang w:val="en-GB"/>
              </w:rPr>
            </w:pPr>
            <w:r w:rsidRPr="00D97518">
              <w:rPr>
                <w:lang w:val="es-ES"/>
              </w:rPr>
              <w:t>Yfantidou G., Costa G. &amp; Michalopoulo</w:t>
            </w:r>
            <w:r w:rsidRPr="00D97518">
              <w:rPr>
                <w:lang w:val="en-US"/>
              </w:rPr>
              <w:t>u</w:t>
            </w:r>
            <w:r w:rsidRPr="00D97518">
              <w:rPr>
                <w:lang w:val="es-ES"/>
              </w:rPr>
              <w:t xml:space="preserve"> M. (2011).</w:t>
            </w:r>
            <w:r w:rsidRPr="00D97518">
              <w:rPr>
                <w:lang w:val="en-US"/>
              </w:rPr>
              <w:t xml:space="preserve"> Sports tourist destination brands. The case of Greece. </w:t>
            </w:r>
            <w:r w:rsidRPr="00D97518">
              <w:rPr>
                <w:i/>
                <w:lang w:val="en-US"/>
              </w:rPr>
              <w:t>Journal of Tourism Today</w:t>
            </w:r>
            <w:r w:rsidRPr="00D97518">
              <w:rPr>
                <w:lang w:val="en-US"/>
              </w:rPr>
              <w:t>, Fall 2011</w:t>
            </w:r>
          </w:p>
          <w:p w:rsidR="003519FD" w:rsidRPr="00D97518" w:rsidRDefault="003519FD" w:rsidP="003519FD">
            <w:pPr>
              <w:numPr>
                <w:ilvl w:val="0"/>
                <w:numId w:val="10"/>
              </w:numPr>
              <w:spacing w:after="0"/>
              <w:jc w:val="both"/>
              <w:rPr>
                <w:lang w:val="en-GB"/>
              </w:rPr>
            </w:pPr>
            <w:r w:rsidRPr="00D97518">
              <w:rPr>
                <w:lang w:val="es-ES"/>
              </w:rPr>
              <w:t>Yfantidou G., Costa G. &amp; Michalopoulo</w:t>
            </w:r>
            <w:r w:rsidRPr="00D97518">
              <w:rPr>
                <w:lang w:val="en-US"/>
              </w:rPr>
              <w:t>u</w:t>
            </w:r>
            <w:r w:rsidRPr="00D97518">
              <w:rPr>
                <w:lang w:val="es-ES"/>
              </w:rPr>
              <w:t xml:space="preserve"> M. (2011).</w:t>
            </w:r>
            <w:r w:rsidRPr="00D97518">
              <w:rPr>
                <w:bCs/>
                <w:caps/>
                <w:lang w:val="en-US"/>
              </w:rPr>
              <w:t xml:space="preserve"> </w:t>
            </w:r>
            <w:r w:rsidRPr="00D97518">
              <w:rPr>
                <w:bCs/>
                <w:caps/>
                <w:lang w:val="en-GB"/>
              </w:rPr>
              <w:t>H</w:t>
            </w:r>
            <w:r w:rsidRPr="00D97518">
              <w:rPr>
                <w:bCs/>
                <w:lang w:val="en-GB"/>
              </w:rPr>
              <w:t xml:space="preserve">uman needs that determine the profile of popular tourist roles in Greece. </w:t>
            </w:r>
            <w:r w:rsidRPr="00D97518">
              <w:rPr>
                <w:i/>
                <w:lang w:val="en-GB"/>
              </w:rPr>
              <w:t xml:space="preserve">Studies in Physical Culture and Tourism, </w:t>
            </w:r>
            <w:r w:rsidRPr="00D97518">
              <w:rPr>
                <w:bCs/>
                <w:lang w:val="en-GB"/>
              </w:rPr>
              <w:t>18(1), 59-70</w:t>
            </w:r>
            <w:r w:rsidRPr="00D97518">
              <w:rPr>
                <w:lang w:val="en-GB"/>
              </w:rPr>
              <w:t>.</w:t>
            </w:r>
          </w:p>
          <w:p w:rsidR="003519FD" w:rsidRPr="00D97518" w:rsidRDefault="003519FD" w:rsidP="003519FD">
            <w:pPr>
              <w:numPr>
                <w:ilvl w:val="0"/>
                <w:numId w:val="10"/>
              </w:numPr>
              <w:autoSpaceDE w:val="0"/>
              <w:autoSpaceDN w:val="0"/>
              <w:spacing w:after="0"/>
            </w:pPr>
            <w:r w:rsidRPr="00D97518">
              <w:rPr>
                <w:lang w:val="en-US"/>
              </w:rPr>
              <w:t xml:space="preserve">Tsitskari E. &amp; Kouli O. (2010). Intrinsic motivation, athletic ability perception and self-satisfaction in sport camps. </w:t>
            </w:r>
            <w:r w:rsidRPr="00D97518">
              <w:rPr>
                <w:i/>
                <w:lang w:val="en-US"/>
              </w:rPr>
              <w:t>World Leisure Journal, 52</w:t>
            </w:r>
            <w:r w:rsidRPr="00D97518">
              <w:rPr>
                <w:lang w:val="en-US"/>
              </w:rPr>
              <w:t>(4), 279-289.</w:t>
            </w:r>
          </w:p>
          <w:p w:rsidR="003519FD" w:rsidRPr="00D97518" w:rsidRDefault="003519FD" w:rsidP="003519FD">
            <w:pPr>
              <w:numPr>
                <w:ilvl w:val="0"/>
                <w:numId w:val="10"/>
              </w:numPr>
              <w:autoSpaceDE w:val="0"/>
              <w:autoSpaceDN w:val="0"/>
              <w:spacing w:after="0"/>
              <w:rPr>
                <w:lang w:val="en-US"/>
              </w:rPr>
            </w:pPr>
            <w:r w:rsidRPr="00D97518">
              <w:rPr>
                <w:lang w:val="en-US"/>
              </w:rPr>
              <w:t xml:space="preserve">Alexandris K., Kouthouris C., Funk D. &amp; Giovani C. (2009). Segmenting winter sport tourists by motivation: The case of recreational skiers. </w:t>
            </w:r>
            <w:r w:rsidRPr="00D97518">
              <w:rPr>
                <w:i/>
                <w:lang w:val="en-US"/>
              </w:rPr>
              <w:t>Journal of Hospitality Marketing &amp; Management, 18</w:t>
            </w:r>
            <w:r w:rsidRPr="00D97518">
              <w:rPr>
                <w:lang w:val="en-US"/>
              </w:rPr>
              <w:t>, 480-499.</w:t>
            </w:r>
          </w:p>
          <w:p w:rsidR="003519FD" w:rsidRDefault="003519FD" w:rsidP="003519FD">
            <w:pPr>
              <w:numPr>
                <w:ilvl w:val="0"/>
                <w:numId w:val="10"/>
              </w:numPr>
              <w:spacing w:after="0"/>
              <w:jc w:val="both"/>
              <w:rPr>
                <w:lang w:val="en-GB"/>
              </w:rPr>
            </w:pPr>
            <w:r w:rsidRPr="00D97518">
              <w:rPr>
                <w:bCs/>
                <w:lang w:val="en-US"/>
              </w:rPr>
              <w:t xml:space="preserve">Yfantidou G., Costa G. &amp; Michalopoulos M. (2008). </w:t>
            </w:r>
            <w:r w:rsidRPr="00D97518">
              <w:rPr>
                <w:bCs/>
                <w:lang w:val="en-GB"/>
              </w:rPr>
              <w:t xml:space="preserve">Tourist Roles, Gender and Age in Greece: A Study of Tourists in Greece. </w:t>
            </w:r>
            <w:r w:rsidRPr="00D97518">
              <w:rPr>
                <w:bCs/>
                <w:i/>
                <w:lang w:val="en-US"/>
              </w:rPr>
              <w:t>International Journal of Sport Management, Recreation and Tourism, 1,</w:t>
            </w:r>
            <w:r w:rsidRPr="00D97518">
              <w:rPr>
                <w:lang w:val="en-US"/>
              </w:rPr>
              <w:t>14-30</w:t>
            </w:r>
            <w:r w:rsidRPr="00D97518">
              <w:rPr>
                <w:lang w:val="en-GB"/>
              </w:rPr>
              <w:t>. DOI: 10.5199/ijsmart-1791-874X-1b</w:t>
            </w:r>
          </w:p>
          <w:p w:rsidR="003A2EAF" w:rsidRPr="003A2EAF" w:rsidRDefault="003A2EAF" w:rsidP="003A2EAF">
            <w:pPr>
              <w:numPr>
                <w:ilvl w:val="0"/>
                <w:numId w:val="10"/>
              </w:numPr>
              <w:spacing w:after="0"/>
              <w:jc w:val="both"/>
              <w:rPr>
                <w:lang w:val="en-GB"/>
              </w:rPr>
            </w:pPr>
            <w:r w:rsidRPr="003A2EAF">
              <w:rPr>
                <w:rFonts w:cstheme="minorHAnsi"/>
                <w:lang w:val="en-US"/>
              </w:rPr>
              <w:t xml:space="preserve">Doyle, J.P., Filo, K., McDonald, H. &amp; Funk, D. (2013). Exploring sport brand double jeopardy: The link between team market share and attitudinal loyalty. </w:t>
            </w:r>
            <w:r w:rsidRPr="003A2EAF">
              <w:rPr>
                <w:rFonts w:cstheme="minorHAnsi"/>
                <w:i/>
                <w:lang w:val="en-US"/>
              </w:rPr>
              <w:t>Sport Management Review</w:t>
            </w:r>
            <w:r w:rsidRPr="003A2EAF">
              <w:rPr>
                <w:rFonts w:cstheme="minorHAnsi"/>
                <w:lang w:val="en-US"/>
              </w:rPr>
              <w:t xml:space="preserve">, </w:t>
            </w:r>
            <w:r w:rsidRPr="003A2EAF">
              <w:rPr>
                <w:rFonts w:cstheme="minorHAnsi"/>
                <w:i/>
                <w:lang w:val="en-US"/>
              </w:rPr>
              <w:t>16</w:t>
            </w:r>
            <w:r w:rsidRPr="003A2EAF">
              <w:rPr>
                <w:rFonts w:cstheme="minorHAnsi"/>
                <w:lang w:val="en-US"/>
              </w:rPr>
              <w:t>(3): 285-297.</w:t>
            </w:r>
          </w:p>
          <w:p w:rsidR="003A2EAF" w:rsidRPr="003A2EAF" w:rsidRDefault="003A2EAF" w:rsidP="003A2EAF">
            <w:pPr>
              <w:numPr>
                <w:ilvl w:val="0"/>
                <w:numId w:val="10"/>
              </w:numPr>
              <w:spacing w:after="0"/>
              <w:jc w:val="both"/>
              <w:rPr>
                <w:lang w:val="en-GB"/>
              </w:rPr>
            </w:pPr>
            <w:bookmarkStart w:id="1" w:name="_Hlk24713203"/>
            <w:r w:rsidRPr="003A2EAF">
              <w:rPr>
                <w:rFonts w:cstheme="minorHAnsi"/>
                <w:lang w:val="en-US"/>
              </w:rPr>
              <w:t xml:space="preserve">Funk, D.C. (2008). </w:t>
            </w:r>
            <w:r w:rsidRPr="003A2EAF">
              <w:rPr>
                <w:rFonts w:cstheme="minorHAnsi"/>
                <w:i/>
                <w:iCs/>
                <w:lang w:val="en-US"/>
              </w:rPr>
              <w:t>Consumer Behaviour in Sport &amp; Events. Marketing Action</w:t>
            </w:r>
            <w:r w:rsidRPr="003A2EAF">
              <w:rPr>
                <w:rFonts w:cstheme="minorHAnsi"/>
                <w:lang w:val="en-US"/>
              </w:rPr>
              <w:t>. ELSEVIER, Oxford.</w:t>
            </w:r>
          </w:p>
          <w:bookmarkEnd w:id="1"/>
          <w:p w:rsidR="003A2EAF" w:rsidRPr="003A2EAF" w:rsidRDefault="003A2EAF" w:rsidP="003A2EAF">
            <w:pPr>
              <w:numPr>
                <w:ilvl w:val="0"/>
                <w:numId w:val="10"/>
              </w:numPr>
              <w:spacing w:after="0"/>
              <w:jc w:val="both"/>
              <w:rPr>
                <w:lang w:val="en-GB"/>
              </w:rPr>
            </w:pPr>
            <w:r w:rsidRPr="003A2EAF">
              <w:rPr>
                <w:rFonts w:cstheme="minorHAnsi"/>
                <w:lang w:val="de-DE"/>
              </w:rPr>
              <w:t xml:space="preserve">Funk D.C. &amp; James J. (2006). </w:t>
            </w:r>
            <w:r w:rsidRPr="003A2EAF">
              <w:rPr>
                <w:rFonts w:cstheme="minorHAnsi"/>
                <w:lang w:val="en-US"/>
              </w:rPr>
              <w:t xml:space="preserve">Consumer loyalty: The meaning of attachment in the development of sport team allegiance. </w:t>
            </w:r>
            <w:r w:rsidRPr="003A2EAF">
              <w:rPr>
                <w:rFonts w:cstheme="minorHAnsi"/>
                <w:i/>
                <w:lang w:val="en-US"/>
              </w:rPr>
              <w:t>Journal of Sport Management</w:t>
            </w:r>
            <w:r w:rsidRPr="003A2EAF">
              <w:rPr>
                <w:rFonts w:cstheme="minorHAnsi"/>
                <w:lang w:val="en-US"/>
              </w:rPr>
              <w:t>,</w:t>
            </w:r>
            <w:r w:rsidRPr="003A2EAF">
              <w:rPr>
                <w:rFonts w:cstheme="minorHAnsi"/>
                <w:i/>
                <w:lang w:val="en-US"/>
              </w:rPr>
              <w:t xml:space="preserve"> 20</w:t>
            </w:r>
            <w:r w:rsidRPr="003A2EAF">
              <w:rPr>
                <w:rFonts w:cstheme="minorHAnsi"/>
                <w:lang w:val="en-US"/>
              </w:rPr>
              <w:t>: 189-217.</w:t>
            </w:r>
          </w:p>
          <w:p w:rsidR="003A2EAF" w:rsidRPr="003A2EAF" w:rsidRDefault="003A2EAF" w:rsidP="003A2EAF">
            <w:pPr>
              <w:numPr>
                <w:ilvl w:val="0"/>
                <w:numId w:val="10"/>
              </w:numPr>
              <w:spacing w:after="0"/>
              <w:jc w:val="both"/>
              <w:rPr>
                <w:lang w:val="en-GB"/>
              </w:rPr>
            </w:pPr>
            <w:r w:rsidRPr="003A2EAF">
              <w:rPr>
                <w:rFonts w:cstheme="minorHAnsi"/>
                <w:lang w:val="en-US"/>
              </w:rPr>
              <w:t xml:space="preserve">Funk D.C., Filo K., Beaton A.A. &amp; Pritchard M. (2009). Measuring the motives of sport event attendance: Bridging the academic-practitioner divide to understanding behavior. </w:t>
            </w:r>
            <w:r w:rsidRPr="003A2EAF">
              <w:rPr>
                <w:rFonts w:cstheme="minorHAnsi"/>
                <w:i/>
                <w:lang w:val="en-US"/>
              </w:rPr>
              <w:t>Sport Marketing Quarterly</w:t>
            </w:r>
            <w:r w:rsidRPr="003A2EAF">
              <w:rPr>
                <w:rFonts w:cstheme="minorHAnsi"/>
                <w:lang w:val="en-US"/>
              </w:rPr>
              <w:t xml:space="preserve">, </w:t>
            </w:r>
            <w:r w:rsidRPr="003A2EAF">
              <w:rPr>
                <w:rFonts w:cstheme="minorHAnsi"/>
                <w:i/>
                <w:lang w:val="en-US"/>
              </w:rPr>
              <w:t>18</w:t>
            </w:r>
            <w:r w:rsidRPr="003A2EAF">
              <w:rPr>
                <w:rFonts w:cstheme="minorHAnsi"/>
                <w:lang w:val="en-US"/>
              </w:rPr>
              <w:t>(3): 126-138.</w:t>
            </w:r>
          </w:p>
          <w:p w:rsidR="003A2EAF" w:rsidRPr="003A2EAF" w:rsidRDefault="003A2EAF" w:rsidP="003A2EAF">
            <w:pPr>
              <w:numPr>
                <w:ilvl w:val="0"/>
                <w:numId w:val="10"/>
              </w:numPr>
              <w:spacing w:after="0"/>
              <w:jc w:val="both"/>
              <w:rPr>
                <w:lang w:val="en-GB"/>
              </w:rPr>
            </w:pPr>
            <w:r w:rsidRPr="003A2EAF">
              <w:rPr>
                <w:rFonts w:cstheme="minorHAnsi"/>
                <w:lang w:val="de-DE"/>
              </w:rPr>
              <w:lastRenderedPageBreak/>
              <w:t xml:space="preserve">Funk, D.C. &amp; Filo, K.R. (2012). </w:t>
            </w:r>
            <w:r w:rsidRPr="003A2EAF">
              <w:rPr>
                <w:rFonts w:cstheme="minorHAnsi"/>
                <w:i/>
                <w:lang w:val="en-US"/>
              </w:rPr>
              <w:t xml:space="preserve">Sport promotion trough communication: A mass media perspective </w:t>
            </w:r>
            <w:r w:rsidRPr="003A2EAF">
              <w:rPr>
                <w:rFonts w:cstheme="minorHAnsi"/>
              </w:rPr>
              <w:t>στο</w:t>
            </w:r>
            <w:r w:rsidRPr="003A2EAF">
              <w:rPr>
                <w:rFonts w:cstheme="minorHAnsi"/>
                <w:lang w:val="en-US"/>
              </w:rPr>
              <w:t>: Routledge Handbook of Sport Management. United Kingdom: Routledge, pp. 281-295.</w:t>
            </w:r>
          </w:p>
          <w:p w:rsidR="003A2EAF" w:rsidRPr="003A2EAF" w:rsidRDefault="003A2EAF" w:rsidP="003A2EAF">
            <w:pPr>
              <w:numPr>
                <w:ilvl w:val="0"/>
                <w:numId w:val="10"/>
              </w:numPr>
              <w:spacing w:after="0"/>
              <w:jc w:val="both"/>
              <w:rPr>
                <w:lang w:val="en-GB"/>
              </w:rPr>
            </w:pPr>
            <w:r w:rsidRPr="003A2EAF">
              <w:rPr>
                <w:rFonts w:cstheme="minorHAnsi"/>
                <w:lang w:val="en-US"/>
              </w:rPr>
              <w:t xml:space="preserve">Kyle, G.T., Theodorakis, B.D., Karageorgiou, A. &amp;Lafazani, M. (2010). The effect of service quality on customer loyalty within the context of ski resorts. </w:t>
            </w:r>
            <w:r w:rsidRPr="003A2EAF">
              <w:rPr>
                <w:rFonts w:cstheme="minorHAnsi"/>
                <w:i/>
                <w:lang w:val="en-US"/>
              </w:rPr>
              <w:t>Journal of Park and Recreation Administration, 28</w:t>
            </w:r>
            <w:r w:rsidRPr="003A2EAF">
              <w:rPr>
                <w:rFonts w:cstheme="minorHAnsi"/>
                <w:lang w:val="en-US"/>
              </w:rPr>
              <w:t>(1), 1-12.</w:t>
            </w:r>
          </w:p>
          <w:p w:rsidR="003A2EAF" w:rsidRPr="003A2EAF" w:rsidRDefault="003A2EAF" w:rsidP="003A2EAF">
            <w:pPr>
              <w:numPr>
                <w:ilvl w:val="0"/>
                <w:numId w:val="10"/>
              </w:numPr>
              <w:spacing w:after="0"/>
              <w:jc w:val="both"/>
              <w:rPr>
                <w:lang w:val="en-GB"/>
              </w:rPr>
            </w:pPr>
            <w:r w:rsidRPr="003A2EAF">
              <w:rPr>
                <w:rFonts w:cstheme="minorHAnsi"/>
              </w:rPr>
              <w:t xml:space="preserve">Κώστα Γ., Ματσούκα Ο., Τσίτσκαρη Ε., &amp; Τριγώνης Ι. (2015). </w:t>
            </w:r>
            <w:r w:rsidRPr="003A2EAF">
              <w:rPr>
                <w:rFonts w:cstheme="minorHAnsi"/>
                <w:i/>
                <w:iCs/>
              </w:rPr>
              <w:t xml:space="preserve">Αθλητική Ψυχαγωγία &amp; Αναψυχή. </w:t>
            </w:r>
            <w:r w:rsidRPr="003A2EAF">
              <w:rPr>
                <w:rFonts w:cstheme="minorHAnsi"/>
              </w:rPr>
              <w:t xml:space="preserve">Σύνδεσμος Ελληνικών Ακαδημαϊκών Βιβλιοθηκών, Αθήνα. </w:t>
            </w:r>
          </w:p>
          <w:p w:rsidR="003A2EAF" w:rsidRPr="003A2EAF" w:rsidRDefault="003A2EAF" w:rsidP="003A2EAF">
            <w:pPr>
              <w:numPr>
                <w:ilvl w:val="0"/>
                <w:numId w:val="10"/>
              </w:numPr>
              <w:spacing w:after="0"/>
              <w:jc w:val="both"/>
              <w:rPr>
                <w:rStyle w:val="author"/>
                <w:lang w:val="en-GB"/>
              </w:rPr>
            </w:pPr>
            <w:r w:rsidRPr="003A2EAF">
              <w:rPr>
                <w:rStyle w:val="author"/>
                <w:rFonts w:cstheme="minorHAnsi"/>
                <w:iCs/>
                <w:lang w:val="en-US"/>
              </w:rPr>
              <w:t xml:space="preserve">Parasuraman, A., Berry, L.L., &amp;Zeithaml, V.A&gt; (1988). SERVQUAL: A multiple-item scale for measuring consumer perceptions of service quality. </w:t>
            </w:r>
            <w:r w:rsidRPr="003A2EAF">
              <w:rPr>
                <w:rStyle w:val="author"/>
                <w:rFonts w:cstheme="minorHAnsi"/>
                <w:i/>
                <w:iCs/>
                <w:lang w:val="en-US"/>
              </w:rPr>
              <w:t>Journal of Retailing, 64</w:t>
            </w:r>
            <w:r w:rsidRPr="003A2EAF">
              <w:rPr>
                <w:rStyle w:val="author"/>
                <w:rFonts w:cstheme="minorHAnsi"/>
                <w:iCs/>
                <w:lang w:val="en-US"/>
              </w:rPr>
              <w:t>(1), 12-40.</w:t>
            </w:r>
          </w:p>
          <w:p w:rsidR="003A2EAF" w:rsidRPr="003A2EAF" w:rsidRDefault="003A2EAF" w:rsidP="003A2EAF">
            <w:pPr>
              <w:numPr>
                <w:ilvl w:val="0"/>
                <w:numId w:val="10"/>
              </w:numPr>
              <w:spacing w:after="0"/>
              <w:jc w:val="both"/>
              <w:rPr>
                <w:rStyle w:val="author"/>
                <w:lang w:val="en-GB"/>
              </w:rPr>
            </w:pPr>
            <w:r w:rsidRPr="003A2EAF">
              <w:rPr>
                <w:rStyle w:val="author"/>
                <w:rFonts w:cstheme="minorHAnsi"/>
                <w:lang w:val="en-US"/>
              </w:rPr>
              <w:t xml:space="preserve">Shilbury D., Quick S., Westerbeek H. &amp; Costa G. (2007). </w:t>
            </w:r>
            <w:r w:rsidRPr="003A2EAF">
              <w:rPr>
                <w:rStyle w:val="author"/>
                <w:rFonts w:cstheme="minorHAnsi"/>
                <w:i/>
              </w:rPr>
              <w:t>Στρατηγικό Μάρκετινγκ του Αθλητισμού &amp; της Αθλητικής Αναψυχής.</w:t>
            </w:r>
            <w:r w:rsidRPr="003A2EAF">
              <w:rPr>
                <w:rStyle w:val="author"/>
                <w:rFonts w:cstheme="minorHAnsi"/>
              </w:rPr>
              <w:t xml:space="preserve"> Επιμέλεια της ελληνικής έκδοσης: Ε. Τσίτσκαρη. Εκδόσεις ΤΕΛΕΘΡΙΟΝ, Αθήνα.</w:t>
            </w:r>
          </w:p>
          <w:p w:rsidR="003A2EAF" w:rsidRPr="003A2EAF" w:rsidRDefault="003A2EAF" w:rsidP="003A2EAF">
            <w:pPr>
              <w:numPr>
                <w:ilvl w:val="0"/>
                <w:numId w:val="10"/>
              </w:numPr>
              <w:spacing w:after="0"/>
              <w:jc w:val="both"/>
              <w:rPr>
                <w:rStyle w:val="author"/>
                <w:lang w:val="en-GB"/>
              </w:rPr>
            </w:pPr>
            <w:r w:rsidRPr="003A2EAF">
              <w:rPr>
                <w:rStyle w:val="author"/>
                <w:rFonts w:cstheme="minorHAnsi"/>
                <w:lang w:val="en-US"/>
              </w:rPr>
              <w:t xml:space="preserve">Shilbury D., Westerbeek H., Quick S., Funk D. &amp;Karg A. (2014). </w:t>
            </w:r>
            <w:r w:rsidRPr="003A2EAF">
              <w:rPr>
                <w:rStyle w:val="author"/>
                <w:rFonts w:cstheme="minorHAnsi"/>
                <w:i/>
                <w:lang w:val="en-US"/>
              </w:rPr>
              <w:t>Strategic Sport Marketing.</w:t>
            </w:r>
            <w:r w:rsidRPr="003A2EAF">
              <w:rPr>
                <w:rStyle w:val="author"/>
                <w:rFonts w:cstheme="minorHAnsi"/>
                <w:lang w:val="en-US"/>
              </w:rPr>
              <w:t>4</w:t>
            </w:r>
            <w:r w:rsidRPr="003A2EAF">
              <w:rPr>
                <w:rStyle w:val="author"/>
                <w:rFonts w:cstheme="minorHAnsi"/>
                <w:vertAlign w:val="superscript"/>
                <w:lang w:val="en-US"/>
              </w:rPr>
              <w:t>th</w:t>
            </w:r>
            <w:r w:rsidRPr="003A2EAF">
              <w:rPr>
                <w:rStyle w:val="author"/>
                <w:rFonts w:cstheme="minorHAnsi"/>
                <w:lang w:val="en-US"/>
              </w:rPr>
              <w:t xml:space="preserve"> Edition. Allen &amp; Unwin, C.N.</w:t>
            </w:r>
          </w:p>
          <w:p w:rsidR="003A2EAF" w:rsidRPr="003A2EAF" w:rsidRDefault="003A2EAF" w:rsidP="003A2EAF">
            <w:pPr>
              <w:numPr>
                <w:ilvl w:val="0"/>
                <w:numId w:val="10"/>
              </w:numPr>
              <w:spacing w:after="0"/>
              <w:jc w:val="both"/>
              <w:rPr>
                <w:lang w:val="en-GB"/>
              </w:rPr>
            </w:pPr>
            <w:r w:rsidRPr="003A2EAF">
              <w:rPr>
                <w:rFonts w:cstheme="minorHAnsi"/>
                <w:lang w:val="en-US"/>
              </w:rPr>
              <w:t xml:space="preserve">Theodorakis, N.D., Howat, G., Ko, Y.J. &amp;Avourdiadou, S. (2014). A comparison of service evaluation models in the context of sport and fitness centres in Greece. </w:t>
            </w:r>
            <w:r w:rsidRPr="003A2EAF">
              <w:rPr>
                <w:rFonts w:cstheme="minorHAnsi"/>
                <w:i/>
                <w:lang w:val="en-US"/>
              </w:rPr>
              <w:t>Managing Leisure, 19</w:t>
            </w:r>
            <w:r w:rsidRPr="003A2EAF">
              <w:rPr>
                <w:rFonts w:cstheme="minorHAnsi"/>
                <w:lang w:val="en-US"/>
              </w:rPr>
              <w:t>(1), 18-35.</w:t>
            </w:r>
          </w:p>
          <w:p w:rsidR="003A2EAF" w:rsidRPr="003A2EAF" w:rsidRDefault="003A2EAF" w:rsidP="003A2EAF">
            <w:pPr>
              <w:numPr>
                <w:ilvl w:val="0"/>
                <w:numId w:val="10"/>
              </w:numPr>
              <w:spacing w:after="0"/>
              <w:jc w:val="both"/>
              <w:rPr>
                <w:lang w:val="en-GB"/>
              </w:rPr>
            </w:pPr>
            <w:r w:rsidRPr="003A2EAF">
              <w:rPr>
                <w:rFonts w:cstheme="minorHAnsi"/>
                <w:lang w:val="en-US"/>
              </w:rPr>
              <w:t xml:space="preserve">Theodorakis, N.D., Tsigilis, N. &amp; Alexandris, K. (2009). The mediating role of place attachment on the relationship between service quality and loyalty in the context of skiing. </w:t>
            </w:r>
            <w:r w:rsidRPr="003A2EAF">
              <w:rPr>
                <w:rFonts w:cstheme="minorHAnsi"/>
                <w:i/>
                <w:lang w:val="en-US"/>
              </w:rPr>
              <w:t>International Journal of SportManagement &amp; Marketing</w:t>
            </w:r>
            <w:r w:rsidRPr="003A2EAF">
              <w:rPr>
                <w:rFonts w:cstheme="minorHAnsi"/>
                <w:lang w:val="en-US"/>
              </w:rPr>
              <w:t xml:space="preserve">, </w:t>
            </w:r>
            <w:r w:rsidRPr="003A2EAF">
              <w:rPr>
                <w:rFonts w:cstheme="minorHAnsi"/>
                <w:i/>
                <w:lang w:val="en-US"/>
              </w:rPr>
              <w:t>6</w:t>
            </w:r>
            <w:r w:rsidRPr="003A2EAF">
              <w:rPr>
                <w:rFonts w:cstheme="minorHAnsi"/>
                <w:lang w:val="en-US"/>
              </w:rPr>
              <w:t>(3): 277-291.</w:t>
            </w:r>
          </w:p>
          <w:p w:rsidR="003A2EAF" w:rsidRPr="003A2EAF" w:rsidRDefault="003A2EAF" w:rsidP="003A2EAF">
            <w:pPr>
              <w:numPr>
                <w:ilvl w:val="0"/>
                <w:numId w:val="10"/>
              </w:numPr>
              <w:spacing w:after="0"/>
              <w:jc w:val="both"/>
              <w:rPr>
                <w:lang w:val="en-GB"/>
              </w:rPr>
            </w:pPr>
            <w:r w:rsidRPr="003A2EAF">
              <w:rPr>
                <w:rFonts w:cstheme="minorHAnsi"/>
                <w:lang w:val="en-US"/>
              </w:rPr>
              <w:t xml:space="preserve">Trendafiova, S., Ziakas, V. &amp;Sparvero, E. (2017). Linking cosporate social responsibility in sport with community development: an added source community value. </w:t>
            </w:r>
            <w:r w:rsidRPr="003A2EAF">
              <w:rPr>
                <w:rFonts w:cstheme="minorHAnsi"/>
                <w:i/>
                <w:lang w:val="en-US"/>
              </w:rPr>
              <w:t>Sport in Society, 20</w:t>
            </w:r>
            <w:r w:rsidRPr="003A2EAF">
              <w:rPr>
                <w:rFonts w:cstheme="minorHAnsi"/>
                <w:lang w:val="en-US"/>
              </w:rPr>
              <w:t>(7), 938-956, doi: 10.1080/17430437.2016.1221935.</w:t>
            </w:r>
          </w:p>
          <w:p w:rsidR="003A2EAF" w:rsidRPr="003A2EAF" w:rsidRDefault="003A2EAF" w:rsidP="003A2EAF">
            <w:pPr>
              <w:numPr>
                <w:ilvl w:val="0"/>
                <w:numId w:val="10"/>
              </w:numPr>
              <w:spacing w:after="0"/>
              <w:jc w:val="both"/>
              <w:rPr>
                <w:lang w:val="en-GB"/>
              </w:rPr>
            </w:pPr>
            <w:r w:rsidRPr="003A2EAF">
              <w:rPr>
                <w:rFonts w:cstheme="minorHAnsi"/>
              </w:rPr>
              <w:t xml:space="preserve">Τσιότσου Ρ. (2020). </w:t>
            </w:r>
            <w:r w:rsidRPr="003A2EAF">
              <w:rPr>
                <w:rFonts w:cstheme="minorHAnsi"/>
                <w:i/>
              </w:rPr>
              <w:t>Αθλητικό Μάρκετινγκ</w:t>
            </w:r>
            <w:r w:rsidRPr="003A2EAF">
              <w:rPr>
                <w:rFonts w:cstheme="minorHAnsi"/>
              </w:rPr>
              <w:t>. Εκδόσεις Πασχαλίδη.</w:t>
            </w:r>
          </w:p>
          <w:p w:rsidR="003A2EAF" w:rsidRPr="003A2EAF" w:rsidRDefault="003A2EAF" w:rsidP="003A2EAF">
            <w:pPr>
              <w:numPr>
                <w:ilvl w:val="0"/>
                <w:numId w:val="10"/>
              </w:numPr>
              <w:spacing w:after="0"/>
              <w:jc w:val="both"/>
              <w:rPr>
                <w:lang w:val="en-GB"/>
              </w:rPr>
            </w:pPr>
            <w:r w:rsidRPr="003A2EAF">
              <w:rPr>
                <w:rFonts w:cstheme="minorHAnsi"/>
              </w:rPr>
              <w:t xml:space="preserve"> </w:t>
            </w:r>
            <w:r w:rsidRPr="003A2EAF">
              <w:rPr>
                <w:rFonts w:cstheme="minorHAnsi"/>
                <w:lang w:val="en-US"/>
              </w:rPr>
              <w:t xml:space="preserve">Tsitskari E.&amp; Kouli O. (2010). Intrinsic motivation, athletic ability perception and self-satisfaction in sport camps. </w:t>
            </w:r>
            <w:r w:rsidRPr="003A2EAF">
              <w:rPr>
                <w:rFonts w:cstheme="minorHAnsi"/>
                <w:i/>
                <w:lang w:val="en-US"/>
              </w:rPr>
              <w:t>World Leisure Journal</w:t>
            </w:r>
            <w:r w:rsidRPr="003A2EAF">
              <w:rPr>
                <w:rFonts w:cstheme="minorHAnsi"/>
                <w:lang w:val="en-US"/>
              </w:rPr>
              <w:t>,</w:t>
            </w:r>
            <w:r w:rsidRPr="003A2EAF">
              <w:rPr>
                <w:rFonts w:cstheme="minorHAnsi"/>
                <w:i/>
                <w:lang w:val="en-US"/>
              </w:rPr>
              <w:t xml:space="preserve"> 52</w:t>
            </w:r>
            <w:r w:rsidRPr="003A2EAF">
              <w:rPr>
                <w:rFonts w:cstheme="minorHAnsi"/>
                <w:lang w:val="en-US"/>
              </w:rPr>
              <w:t>(4), 279-289.</w:t>
            </w:r>
          </w:p>
          <w:p w:rsidR="003A2EAF" w:rsidRPr="003A2EAF" w:rsidRDefault="003A2EAF" w:rsidP="003A2EAF">
            <w:pPr>
              <w:numPr>
                <w:ilvl w:val="0"/>
                <w:numId w:val="10"/>
              </w:numPr>
              <w:spacing w:after="0"/>
              <w:jc w:val="both"/>
              <w:rPr>
                <w:lang w:val="en-GB"/>
              </w:rPr>
            </w:pPr>
            <w:r w:rsidRPr="003A2EAF">
              <w:rPr>
                <w:rFonts w:cstheme="minorHAnsi"/>
                <w:lang w:val="en-US"/>
              </w:rPr>
              <w:t xml:space="preserve">Tsitskari, E., Tzetzis, G. &amp;Konsoulas, D. (2017). Perceived service quality &amp; loyalty of fitness centers’ customers: Segmenting members through their exercise motives. </w:t>
            </w:r>
            <w:r w:rsidRPr="003A2EAF">
              <w:rPr>
                <w:rFonts w:cstheme="minorHAnsi"/>
                <w:i/>
                <w:lang w:val="en-US"/>
              </w:rPr>
              <w:t>Services Marketing Quarterly, 38</w:t>
            </w:r>
            <w:r w:rsidRPr="003A2EAF">
              <w:rPr>
                <w:rFonts w:cstheme="minorHAnsi"/>
                <w:lang w:val="en-US"/>
              </w:rPr>
              <w:t>(4), 10.1080/15332969.2017.1366211</w:t>
            </w:r>
          </w:p>
          <w:p w:rsidR="003A2EAF" w:rsidRPr="003A2EAF" w:rsidRDefault="003A2EAF" w:rsidP="003A2EAF">
            <w:pPr>
              <w:numPr>
                <w:ilvl w:val="0"/>
                <w:numId w:val="10"/>
              </w:numPr>
              <w:spacing w:after="0"/>
              <w:jc w:val="both"/>
              <w:rPr>
                <w:rStyle w:val="author"/>
                <w:lang w:val="en-GB"/>
              </w:rPr>
            </w:pPr>
            <w:r w:rsidRPr="003A2EAF">
              <w:rPr>
                <w:rStyle w:val="author"/>
                <w:rFonts w:cstheme="minorHAnsi"/>
                <w:lang w:val="en-US"/>
              </w:rPr>
              <w:t xml:space="preserve">Tsitskari, E. &amp;Tsakiraki, A. (2013). Does satisfaction affect a member’s psychological commitment to a fitness center? </w:t>
            </w:r>
            <w:r w:rsidRPr="003A2EAF">
              <w:rPr>
                <w:rStyle w:val="author"/>
                <w:rFonts w:cstheme="minorHAnsi"/>
                <w:i/>
                <w:lang w:val="en-US"/>
              </w:rPr>
              <w:t>Journal of Physical Education &amp; Sport</w:t>
            </w:r>
            <w:r w:rsidRPr="003A2EAF">
              <w:rPr>
                <w:rStyle w:val="author"/>
                <w:rFonts w:cstheme="minorHAnsi"/>
                <w:lang w:val="en-US"/>
              </w:rPr>
              <w:t>,</w:t>
            </w:r>
            <w:r w:rsidRPr="003A2EAF">
              <w:rPr>
                <w:rStyle w:val="author"/>
                <w:rFonts w:cstheme="minorHAnsi"/>
                <w:i/>
                <w:lang w:val="en-US"/>
              </w:rPr>
              <w:t xml:space="preserve"> 13</w:t>
            </w:r>
            <w:r w:rsidRPr="003A2EAF">
              <w:rPr>
                <w:rStyle w:val="author"/>
                <w:rFonts w:cstheme="minorHAnsi"/>
                <w:lang w:val="en-US"/>
              </w:rPr>
              <w:t>(4): 522-527</w:t>
            </w:r>
          </w:p>
          <w:p w:rsidR="003A2EAF" w:rsidRPr="003A2EAF" w:rsidRDefault="003A2EAF" w:rsidP="003A2EAF">
            <w:pPr>
              <w:numPr>
                <w:ilvl w:val="0"/>
                <w:numId w:val="10"/>
              </w:numPr>
              <w:spacing w:after="0"/>
              <w:jc w:val="both"/>
              <w:rPr>
                <w:lang w:val="en-GB"/>
              </w:rPr>
            </w:pPr>
            <w:r w:rsidRPr="003A2EAF">
              <w:rPr>
                <w:rStyle w:val="author"/>
                <w:rFonts w:cstheme="minorHAnsi"/>
                <w:lang w:val="en-US"/>
              </w:rPr>
              <w:t xml:space="preserve">Tsitskari, E., Quick, S. &amp;Tsakiraki, A. (2014). Measuring exercise involvement among fitness centers’ members: Is it related with their satisfaction? </w:t>
            </w:r>
            <w:r w:rsidRPr="003A2EAF">
              <w:rPr>
                <w:rStyle w:val="author"/>
                <w:rFonts w:cstheme="minorHAnsi"/>
                <w:i/>
                <w:lang w:val="en-US"/>
              </w:rPr>
              <w:t>Services Marketing Quarterly, 35</w:t>
            </w:r>
            <w:r w:rsidRPr="003A2EAF">
              <w:rPr>
                <w:rStyle w:val="author"/>
                <w:rFonts w:cstheme="minorHAnsi"/>
                <w:lang w:val="en-US"/>
              </w:rPr>
              <w:t>(4): 372-389.</w:t>
            </w:r>
            <w:r w:rsidRPr="003A2EAF">
              <w:rPr>
                <w:rFonts w:eastAsia="Calibri" w:cstheme="minorHAnsi"/>
                <w:lang w:val="en-US"/>
              </w:rPr>
              <w:t xml:space="preserve">Tsitskari, E., Tsiotras, D. &amp;Tsiotras, G. (2006). Measuring service quality in sport services. </w:t>
            </w:r>
            <w:r w:rsidRPr="003A2EAF">
              <w:rPr>
                <w:rFonts w:eastAsia="Calibri" w:cstheme="minorHAnsi"/>
                <w:i/>
                <w:lang w:val="en-US"/>
              </w:rPr>
              <w:t>Total Quality Management, 17</w:t>
            </w:r>
            <w:r w:rsidRPr="003A2EAF">
              <w:rPr>
                <w:rFonts w:eastAsia="Calibri" w:cstheme="minorHAnsi"/>
                <w:lang w:val="en-US"/>
              </w:rPr>
              <w:t>(5), 623-631.</w:t>
            </w:r>
          </w:p>
          <w:p w:rsidR="00A45BD0" w:rsidRPr="0083227B" w:rsidRDefault="003A2EAF" w:rsidP="0083227B">
            <w:pPr>
              <w:numPr>
                <w:ilvl w:val="0"/>
                <w:numId w:val="10"/>
              </w:numPr>
              <w:spacing w:after="0"/>
              <w:jc w:val="both"/>
              <w:rPr>
                <w:lang w:val="en-GB"/>
              </w:rPr>
            </w:pPr>
            <w:r w:rsidRPr="003A2EAF">
              <w:rPr>
                <w:rStyle w:val="author"/>
                <w:rFonts w:cstheme="minorHAnsi"/>
                <w:lang w:val="en-US"/>
              </w:rPr>
              <w:t xml:space="preserve">Tsitskari, E., Vernadakis, B., Foridou, A. &amp; Bebetsos, E. (2015). May motives predict children’s’ team sports participation? The application of BRSQ in a Greek population. </w:t>
            </w:r>
            <w:r w:rsidRPr="003A2EAF">
              <w:rPr>
                <w:rStyle w:val="author"/>
                <w:rFonts w:cstheme="minorHAnsi"/>
                <w:i/>
                <w:lang w:val="en-US"/>
              </w:rPr>
              <w:t>Motricidade</w:t>
            </w:r>
            <w:r w:rsidRPr="003A2EAF">
              <w:rPr>
                <w:rStyle w:val="author"/>
                <w:rFonts w:cstheme="minorHAnsi"/>
                <w:lang w:val="en-US"/>
              </w:rPr>
              <w:t>,</w:t>
            </w:r>
            <w:r w:rsidRPr="003A2EAF">
              <w:rPr>
                <w:rStyle w:val="author"/>
                <w:rFonts w:cstheme="minorHAnsi"/>
                <w:i/>
                <w:lang w:val="en-US"/>
              </w:rPr>
              <w:t xml:space="preserve"> 11</w:t>
            </w:r>
            <w:r w:rsidRPr="003A2EAF">
              <w:rPr>
                <w:rStyle w:val="author"/>
                <w:rFonts w:cstheme="minorHAnsi"/>
                <w:lang w:val="en-US"/>
              </w:rPr>
              <w:t>(1): 64-77.</w:t>
            </w:r>
          </w:p>
        </w:tc>
      </w:tr>
    </w:tbl>
    <w:p w:rsidR="00664148" w:rsidRPr="0083227B" w:rsidRDefault="00664148" w:rsidP="0083227B">
      <w:pPr>
        <w:jc w:val="center"/>
      </w:pPr>
      <w:r w:rsidRPr="00664148">
        <w:rPr>
          <w:rFonts w:ascii="Calibri" w:eastAsia="Calibri" w:hAnsi="Calibri" w:cs="Times New Roman"/>
          <w:b/>
          <w:sz w:val="32"/>
        </w:rPr>
        <w:lastRenderedPageBreak/>
        <w:t>ΠΑΡΑΡΤΗΜΑ ΠΕΡΙΓΡΑΜΜΑΤΟΣ ΜΑΘΗΜΑΤΟΣ</w:t>
      </w:r>
    </w:p>
    <w:p w:rsidR="00664148" w:rsidRPr="000D22C3" w:rsidRDefault="00664148" w:rsidP="00580E4E">
      <w:pPr>
        <w:shd w:val="clear" w:color="auto" w:fill="C6D9F1" w:themeFill="text2" w:themeFillTint="33"/>
        <w:spacing w:after="0" w:line="259" w:lineRule="auto"/>
        <w:ind w:left="-426" w:right="43"/>
        <w:jc w:val="center"/>
        <w:rPr>
          <w:rFonts w:ascii="Calibri" w:eastAsia="Calibri" w:hAnsi="Calibri" w:cs="Times New Roman"/>
          <w:b/>
          <w:sz w:val="28"/>
        </w:rPr>
      </w:pPr>
    </w:p>
    <w:p w:rsidR="00664148" w:rsidRPr="00664148" w:rsidRDefault="00664148" w:rsidP="00580E4E">
      <w:pPr>
        <w:spacing w:after="0" w:line="259" w:lineRule="auto"/>
        <w:ind w:left="-112" w:right="43"/>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rsidR="00664148" w:rsidRPr="000D22C3" w:rsidRDefault="00664148" w:rsidP="00580E4E">
      <w:pPr>
        <w:shd w:val="clear" w:color="auto" w:fill="C6D9F1" w:themeFill="text2" w:themeFillTint="33"/>
        <w:spacing w:after="0" w:line="259" w:lineRule="auto"/>
        <w:ind w:left="-420" w:right="43"/>
        <w:rPr>
          <w:rFonts w:ascii="Calibri" w:eastAsia="Calibri" w:hAnsi="Calibri" w:cs="Times New Roman"/>
          <w:sz w:val="20"/>
        </w:rPr>
      </w:pPr>
    </w:p>
    <w:tbl>
      <w:tblPr>
        <w:tblStyle w:val="1"/>
        <w:tblW w:w="9091" w:type="dxa"/>
        <w:tblInd w:w="-318" w:type="dxa"/>
        <w:tblLook w:val="04A0"/>
      </w:tblPr>
      <w:tblGrid>
        <w:gridCol w:w="2386"/>
        <w:gridCol w:w="6705"/>
      </w:tblGrid>
      <w:tr w:rsidR="00664148" w:rsidRPr="00664148" w:rsidTr="000D22C3">
        <w:tc>
          <w:tcPr>
            <w:tcW w:w="2386" w:type="dxa"/>
            <w:shd w:val="clear" w:color="auto" w:fill="auto"/>
          </w:tcPr>
          <w:p w:rsidR="00664148" w:rsidRPr="00664148" w:rsidRDefault="00664148" w:rsidP="000D22C3">
            <w:pPr>
              <w:spacing w:before="120" w:after="120"/>
              <w:ind w:left="-112"/>
              <w:jc w:val="right"/>
              <w:rPr>
                <w:rFonts w:ascii="Calibri" w:eastAsia="Calibri" w:hAnsi="Calibri"/>
                <w:b/>
                <w:sz w:val="24"/>
              </w:rPr>
            </w:pPr>
            <w:r w:rsidRPr="00664148">
              <w:rPr>
                <w:rFonts w:ascii="Calibri" w:eastAsia="Calibri" w:hAnsi="Calibri"/>
                <w:b/>
                <w:sz w:val="24"/>
              </w:rPr>
              <w:t>Διδάσκων:</w:t>
            </w:r>
          </w:p>
        </w:tc>
        <w:tc>
          <w:tcPr>
            <w:tcW w:w="6705" w:type="dxa"/>
            <w:shd w:val="clear" w:color="auto" w:fill="auto"/>
          </w:tcPr>
          <w:p w:rsidR="00664148" w:rsidRPr="000D22C3"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Κώστα Γεώργιος</w:t>
            </w:r>
          </w:p>
        </w:tc>
      </w:tr>
      <w:tr w:rsidR="00664148" w:rsidRPr="00664148" w:rsidTr="000D22C3">
        <w:tc>
          <w:tcPr>
            <w:tcW w:w="2386" w:type="dxa"/>
            <w:shd w:val="clear" w:color="auto" w:fill="auto"/>
          </w:tcPr>
          <w:p w:rsidR="00664148" w:rsidRPr="00664148" w:rsidRDefault="00664148" w:rsidP="000D22C3">
            <w:pPr>
              <w:spacing w:before="120" w:after="120"/>
              <w:ind w:left="-112"/>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6705" w:type="dxa"/>
            <w:shd w:val="clear" w:color="auto" w:fill="auto"/>
          </w:tcPr>
          <w:p w:rsidR="00664148" w:rsidRPr="003519FD" w:rsidRDefault="00050C72" w:rsidP="000D22C3">
            <w:pPr>
              <w:spacing w:before="120" w:after="120"/>
              <w:rPr>
                <w:rFonts w:ascii="Calibri" w:eastAsia="Calibri" w:hAnsi="Calibri"/>
                <w:color w:val="244061" w:themeColor="accent1" w:themeShade="80"/>
              </w:rPr>
            </w:pPr>
            <w:hyperlink r:id="rId7" w:history="1">
              <w:r w:rsidR="003519FD" w:rsidRPr="002E11B1">
                <w:rPr>
                  <w:rStyle w:val="-"/>
                  <w:rFonts w:ascii="Calibri" w:eastAsia="Calibri" w:hAnsi="Calibri"/>
                  <w:lang w:val="en-US"/>
                </w:rPr>
                <w:t>gkosta</w:t>
              </w:r>
              <w:r w:rsidR="003519FD" w:rsidRPr="003519FD">
                <w:rPr>
                  <w:rStyle w:val="-"/>
                  <w:rFonts w:ascii="Calibri" w:eastAsia="Calibri" w:hAnsi="Calibri"/>
                </w:rPr>
                <w:t>@</w:t>
              </w:r>
              <w:r w:rsidR="003519FD" w:rsidRPr="002E11B1">
                <w:rPr>
                  <w:rStyle w:val="-"/>
                  <w:rFonts w:ascii="Calibri" w:eastAsia="Calibri" w:hAnsi="Calibri"/>
                  <w:lang w:val="en-US"/>
                </w:rPr>
                <w:t>phyed</w:t>
              </w:r>
              <w:r w:rsidR="003519FD" w:rsidRPr="003519FD">
                <w:rPr>
                  <w:rStyle w:val="-"/>
                  <w:rFonts w:ascii="Calibri" w:eastAsia="Calibri" w:hAnsi="Calibri"/>
                </w:rPr>
                <w:t>.</w:t>
              </w:r>
              <w:r w:rsidR="003519FD" w:rsidRPr="002E11B1">
                <w:rPr>
                  <w:rStyle w:val="-"/>
                  <w:rFonts w:ascii="Calibri" w:eastAsia="Calibri" w:hAnsi="Calibri"/>
                  <w:lang w:val="en-US"/>
                </w:rPr>
                <w:t>duth</w:t>
              </w:r>
              <w:r w:rsidR="003519FD" w:rsidRPr="003519FD">
                <w:rPr>
                  <w:rStyle w:val="-"/>
                  <w:rFonts w:ascii="Calibri" w:eastAsia="Calibri" w:hAnsi="Calibri"/>
                </w:rPr>
                <w:t>.</w:t>
              </w:r>
              <w:r w:rsidR="003519FD" w:rsidRPr="002E11B1">
                <w:rPr>
                  <w:rStyle w:val="-"/>
                  <w:rFonts w:ascii="Calibri" w:eastAsia="Calibri" w:hAnsi="Calibri"/>
                  <w:lang w:val="en-US"/>
                </w:rPr>
                <w:t>gr</w:t>
              </w:r>
            </w:hyperlink>
          </w:p>
          <w:p w:rsid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Τηλέφωνο γραφείου 25310 39701</w:t>
            </w:r>
          </w:p>
          <w:p w:rsid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κινητό 6975026875</w:t>
            </w:r>
          </w:p>
          <w:p w:rsid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Ώρες γραφείου Δευτέρα 18:00 – 21:00</w:t>
            </w:r>
          </w:p>
          <w:p w:rsidR="003519FD" w:rsidRP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 xml:space="preserve">Μετά από ραντεβού στην πλατφόρμα TEAMS  </w:t>
            </w:r>
          </w:p>
        </w:tc>
      </w:tr>
      <w:tr w:rsidR="00664148" w:rsidRPr="00664148" w:rsidTr="000D22C3">
        <w:tc>
          <w:tcPr>
            <w:tcW w:w="2386"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0D22C3">
              <w:rPr>
                <w:rFonts w:ascii="Calibri" w:eastAsia="Calibri" w:hAnsi="Calibri"/>
                <w:b/>
                <w:sz w:val="16"/>
                <w:szCs w:val="16"/>
              </w:rPr>
              <w:t>(1)</w:t>
            </w:r>
          </w:p>
        </w:tc>
        <w:tc>
          <w:tcPr>
            <w:tcW w:w="6705" w:type="dxa"/>
          </w:tcPr>
          <w:p w:rsidR="00664148" w:rsidRPr="000D22C3" w:rsidRDefault="00544385" w:rsidP="000D22C3">
            <w:pPr>
              <w:spacing w:before="120" w:after="120"/>
              <w:rPr>
                <w:rFonts w:ascii="Calibri" w:eastAsia="Calibri" w:hAnsi="Calibri"/>
                <w:color w:val="244061" w:themeColor="accent1" w:themeShade="80"/>
              </w:rPr>
            </w:pPr>
            <w:r w:rsidRPr="000D22C3">
              <w:rPr>
                <w:rFonts w:ascii="Calibri" w:eastAsia="Calibri" w:hAnsi="Calibri"/>
                <w:color w:val="244061" w:themeColor="accent1" w:themeShade="80"/>
              </w:rPr>
              <w:t>ΝΑΙ</w:t>
            </w:r>
          </w:p>
        </w:tc>
      </w:tr>
      <w:tr w:rsidR="00664148" w:rsidRPr="00664148" w:rsidTr="000D22C3">
        <w:tc>
          <w:tcPr>
            <w:tcW w:w="2386" w:type="dxa"/>
          </w:tcPr>
          <w:p w:rsidR="00664148" w:rsidRPr="00664148" w:rsidRDefault="00664148" w:rsidP="000D22C3">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w:t>
            </w:r>
            <w:r w:rsidR="000D22C3">
              <w:rPr>
                <w:rFonts w:ascii="Calibri" w:eastAsia="Calibri" w:hAnsi="Calibri"/>
                <w:b/>
                <w:color w:val="000000"/>
                <w:sz w:val="16"/>
              </w:rPr>
              <w:t>2</w:t>
            </w:r>
            <w:r w:rsidRPr="00664148">
              <w:rPr>
                <w:rFonts w:ascii="Calibri" w:eastAsia="Calibri" w:hAnsi="Calibri"/>
                <w:b/>
                <w:color w:val="000000"/>
                <w:sz w:val="16"/>
              </w:rPr>
              <w:t>)</w:t>
            </w:r>
          </w:p>
        </w:tc>
        <w:tc>
          <w:tcPr>
            <w:tcW w:w="6705" w:type="dxa"/>
          </w:tcPr>
          <w:p w:rsidR="00664148" w:rsidRPr="000D22C3" w:rsidRDefault="000C17BA" w:rsidP="000D22C3">
            <w:pPr>
              <w:spacing w:before="120" w:after="120"/>
              <w:jc w:val="both"/>
              <w:rPr>
                <w:rFonts w:ascii="Calibri" w:eastAsia="Calibri" w:hAnsi="Calibri" w:cs="Calibri"/>
                <w:color w:val="244061" w:themeColor="accent1" w:themeShade="80"/>
              </w:rPr>
            </w:pPr>
            <w:r>
              <w:rPr>
                <w:rFonts w:ascii="Calibri" w:eastAsia="Calibri" w:hAnsi="Calibri" w:cs="Calibri"/>
                <w:color w:val="244061" w:themeColor="accent1" w:themeShade="80"/>
              </w:rPr>
              <w:t>Εξ αποστάσεως</w:t>
            </w:r>
          </w:p>
        </w:tc>
      </w:tr>
      <w:tr w:rsidR="00664148" w:rsidRPr="00664148" w:rsidTr="000D22C3">
        <w:tc>
          <w:tcPr>
            <w:tcW w:w="2386" w:type="dxa"/>
          </w:tcPr>
          <w:p w:rsidR="00664148" w:rsidRPr="00664148" w:rsidRDefault="00664148" w:rsidP="000D22C3">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w:t>
            </w:r>
            <w:r w:rsidR="000D22C3">
              <w:rPr>
                <w:rFonts w:ascii="Calibri" w:eastAsia="Calibri" w:hAnsi="Calibri"/>
                <w:b/>
                <w:color w:val="000000"/>
                <w:sz w:val="16"/>
              </w:rPr>
              <w:t>3</w:t>
            </w:r>
            <w:r w:rsidRPr="00664148">
              <w:rPr>
                <w:rFonts w:ascii="Calibri" w:eastAsia="Calibri" w:hAnsi="Calibri"/>
                <w:b/>
                <w:color w:val="000000"/>
                <w:sz w:val="16"/>
              </w:rPr>
              <w:t>)</w:t>
            </w:r>
          </w:p>
        </w:tc>
        <w:tc>
          <w:tcPr>
            <w:tcW w:w="6705" w:type="dxa"/>
          </w:tcPr>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 xml:space="preserve"> </w:t>
            </w:r>
          </w:p>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Η εξέταση θα πραγματοποιηθεί μέσω</w:t>
            </w:r>
            <w:r w:rsidR="000C17BA" w:rsidRPr="000C17BA">
              <w:rPr>
                <w:rFonts w:ascii="Calibri" w:eastAsia="Calibri" w:hAnsi="Calibri" w:cs="Calibri"/>
                <w:color w:val="244061" w:themeColor="accent1" w:themeShade="80"/>
              </w:rPr>
              <w:t xml:space="preserve"> </w:t>
            </w:r>
            <w:r w:rsidR="000C17BA">
              <w:rPr>
                <w:rFonts w:ascii="Calibri" w:eastAsia="Calibri" w:hAnsi="Calibri" w:cs="Calibri"/>
                <w:color w:val="244061" w:themeColor="accent1" w:themeShade="80"/>
                <w:lang w:val="en-US"/>
              </w:rPr>
              <w:t>TEAMS</w:t>
            </w:r>
            <w:r w:rsidR="000C17BA" w:rsidRPr="000C17BA">
              <w:rPr>
                <w:rFonts w:ascii="Calibri" w:eastAsia="Calibri" w:hAnsi="Calibri" w:cs="Calibri"/>
                <w:color w:val="244061" w:themeColor="accent1" w:themeShade="80"/>
              </w:rPr>
              <w:t xml:space="preserve"> &amp; </w:t>
            </w:r>
            <w:r w:rsidR="000C17BA">
              <w:rPr>
                <w:rFonts w:ascii="Calibri" w:eastAsia="Calibri" w:hAnsi="Calibri" w:cs="Calibri"/>
                <w:color w:val="244061" w:themeColor="accent1" w:themeShade="80"/>
                <w:lang w:val="en-US"/>
              </w:rPr>
              <w:t>e</w:t>
            </w:r>
            <w:r w:rsidR="000C17BA" w:rsidRPr="000C17BA">
              <w:rPr>
                <w:rFonts w:ascii="Calibri" w:eastAsia="Calibri" w:hAnsi="Calibri" w:cs="Calibri"/>
                <w:color w:val="244061" w:themeColor="accent1" w:themeShade="80"/>
              </w:rPr>
              <w:t xml:space="preserve"> </w:t>
            </w:r>
            <w:r w:rsidR="000C17BA">
              <w:rPr>
                <w:rFonts w:ascii="Calibri" w:eastAsia="Calibri" w:hAnsi="Calibri" w:cs="Calibri"/>
                <w:color w:val="244061" w:themeColor="accent1" w:themeShade="80"/>
                <w:lang w:val="en-US"/>
              </w:rPr>
              <w:t>class</w:t>
            </w:r>
            <w:r w:rsidRPr="000D22C3">
              <w:rPr>
                <w:rFonts w:ascii="Calibri" w:eastAsia="Calibri" w:hAnsi="Calibri" w:cs="Calibri"/>
                <w:color w:val="244061" w:themeColor="accent1" w:themeShade="80"/>
              </w:rPr>
              <w:t xml:space="preserve">. Ο σύνδεσμός θα αποσταλεί στους φοιτητές μέσω </w:t>
            </w:r>
            <w:r w:rsidRPr="000D22C3">
              <w:rPr>
                <w:rFonts w:ascii="Calibri" w:eastAsia="Calibri" w:hAnsi="Calibri" w:cs="Calibri"/>
                <w:color w:val="244061" w:themeColor="accent1" w:themeShade="80"/>
                <w:lang w:val="fr-FR"/>
              </w:rPr>
              <w:t>eclass</w:t>
            </w:r>
            <w:r w:rsidRPr="000D22C3">
              <w:rPr>
                <w:rFonts w:ascii="Calibri" w:eastAsia="Calibri" w:hAnsi="Calibri" w:cs="Calibri"/>
                <w:color w:val="244061" w:themeColor="accent1" w:themeShade="80"/>
              </w:rPr>
              <w:t xml:space="preserve"> αποκλειστικά στους ιδρυματικούς λογαριασμούς όσων έχουν δηλώσει το μάθημα και έχουν  λάβει γνώση των όρων εξ αποστάσεως εκπαίδευσης.</w:t>
            </w:r>
          </w:p>
          <w:p w:rsidR="00664148" w:rsidRPr="00E73EE4"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Οι φοιτητές θα πρέπει να συνδεθούν στην αίθουσα εξέτασης μέσω του ιδρυματικού τους λογαριασμού, διαφορετικά δεν θα μπορέσουν να συμμετάσχουν. Επίσης θα συμμετάσχουν στην εξέταση με κάμερα την οποία θα έχουν ανοικτή κατά τη διάρκεια της εξέτασης. Πριν την έναρξη της εξέτασης, οι φοιτητές θα επιδεικνύουν στην κάμερα την ταυτότητά τους, ώστε να γίνει ταυτοποίησή τους.</w:t>
            </w:r>
          </w:p>
          <w:p w:rsidR="000C17BA" w:rsidRDefault="000C17BA" w:rsidP="00664148">
            <w:pPr>
              <w:ind w:left="-48"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Οι εξετάσεις θα πραγματοποιηθούν με  συγκεκριμένο χρονικό όριο  (2 ώρες)</w:t>
            </w:r>
          </w:p>
          <w:p w:rsidR="000C17BA" w:rsidRDefault="000C17BA" w:rsidP="00664148">
            <w:pPr>
              <w:ind w:left="-48"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 xml:space="preserve">Θα περιέχουν </w:t>
            </w:r>
          </w:p>
          <w:p w:rsid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Σωστό – Λάθος</w:t>
            </w:r>
          </w:p>
          <w:p w:rsid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Πολλαπλές απαντήσεις</w:t>
            </w:r>
          </w:p>
          <w:p w:rsid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 xml:space="preserve">Αντιστοιχίες </w:t>
            </w:r>
          </w:p>
          <w:p w:rsidR="000C17BA" w:rsidRP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Σύντομες απαντήσεις σε σενάρια (</w:t>
            </w:r>
            <w:r>
              <w:rPr>
                <w:rFonts w:ascii="Calibri" w:eastAsia="Calibri" w:hAnsi="Calibri" w:cs="Calibri"/>
                <w:color w:val="244061" w:themeColor="accent1" w:themeShade="80"/>
                <w:lang w:val="en-US"/>
              </w:rPr>
              <w:t>case</w:t>
            </w:r>
            <w:r w:rsidRPr="000C17BA">
              <w:rPr>
                <w:rFonts w:ascii="Calibri" w:eastAsia="Calibri" w:hAnsi="Calibri" w:cs="Calibri"/>
                <w:color w:val="244061" w:themeColor="accent1" w:themeShade="80"/>
              </w:rPr>
              <w:t xml:space="preserve"> </w:t>
            </w:r>
            <w:r>
              <w:rPr>
                <w:rFonts w:ascii="Calibri" w:eastAsia="Calibri" w:hAnsi="Calibri" w:cs="Calibri"/>
                <w:color w:val="244061" w:themeColor="accent1" w:themeShade="80"/>
                <w:lang w:val="en-US"/>
              </w:rPr>
              <w:t>stydies</w:t>
            </w:r>
            <w:r w:rsidRPr="000C17BA">
              <w:rPr>
                <w:rFonts w:ascii="Calibri" w:eastAsia="Calibri" w:hAnsi="Calibri" w:cs="Calibri"/>
                <w:color w:val="244061" w:themeColor="accent1" w:themeShade="80"/>
              </w:rPr>
              <w:t>).</w:t>
            </w:r>
          </w:p>
          <w:p w:rsidR="00664148" w:rsidRPr="000D22C3" w:rsidRDefault="00664148" w:rsidP="00664148">
            <w:pPr>
              <w:ind w:left="-76" w:right="-68"/>
              <w:jc w:val="both"/>
              <w:rPr>
                <w:rFonts w:ascii="Calibri" w:eastAsia="Calibri" w:hAnsi="Calibri" w:cs="Calibri"/>
                <w:color w:val="244061" w:themeColor="accent1" w:themeShade="80"/>
              </w:rPr>
            </w:pPr>
          </w:p>
        </w:tc>
      </w:tr>
    </w:tbl>
    <w:p w:rsidR="00C17BE0" w:rsidRPr="000D22C3" w:rsidRDefault="00C17BE0" w:rsidP="000D22C3">
      <w:pPr>
        <w:spacing w:after="0" w:line="259" w:lineRule="auto"/>
        <w:rPr>
          <w:rFonts w:ascii="Calibri" w:eastAsia="Calibri" w:hAnsi="Calibri" w:cs="Times New Roman"/>
          <w:sz w:val="12"/>
        </w:rPr>
      </w:pPr>
    </w:p>
    <w:p w:rsidR="00664148" w:rsidRPr="00C17BE0"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C17BE0">
        <w:rPr>
          <w:rFonts w:ascii="Calibri" w:eastAsia="Calibri" w:hAnsi="Calibri" w:cs="Times New Roman"/>
          <w:sz w:val="18"/>
          <w:szCs w:val="18"/>
        </w:rPr>
        <w:t xml:space="preserve">Συμπληρώνεται </w:t>
      </w:r>
      <w:r w:rsidR="00544385" w:rsidRPr="00C17BE0">
        <w:rPr>
          <w:rFonts w:ascii="Calibri" w:eastAsia="Calibri" w:hAnsi="Calibri" w:cs="Times New Roman"/>
          <w:sz w:val="18"/>
          <w:szCs w:val="18"/>
        </w:rPr>
        <w:t>με ΝΑΙ ή ΟΧΙ</w:t>
      </w:r>
    </w:p>
    <w:p w:rsidR="00664148" w:rsidRPr="00664148"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664148" w:rsidRDefault="00664148" w:rsidP="002B71B0">
      <w:pPr>
        <w:numPr>
          <w:ilvl w:val="0"/>
          <w:numId w:val="5"/>
        </w:numPr>
        <w:spacing w:after="0" w:line="240" w:lineRule="auto"/>
        <w:ind w:left="142" w:hanging="298"/>
        <w:contextualSpacing/>
        <w:rPr>
          <w:rFonts w:ascii="Calibri" w:eastAsia="Calibri" w:hAnsi="Calibri" w:cs="Calibri"/>
          <w:color w:val="000000"/>
          <w:sz w:val="18"/>
          <w:szCs w:val="18"/>
        </w:rPr>
      </w:pPr>
      <w:bookmarkStart w:id="2" w:name="_Hlk41163814"/>
      <w:r w:rsidRPr="00664148">
        <w:rPr>
          <w:rFonts w:ascii="Calibri" w:eastAsia="Calibri" w:hAnsi="Calibri" w:cs="Calibri"/>
          <w:color w:val="000000"/>
          <w:sz w:val="18"/>
          <w:szCs w:val="18"/>
        </w:rPr>
        <w:t>γραπτή εργασία ή/και ασκήσεις,</w:t>
      </w:r>
    </w:p>
    <w:bookmarkEnd w:id="2"/>
    <w:p w:rsidR="00664148" w:rsidRPr="00664148" w:rsidRDefault="00664148" w:rsidP="002B71B0">
      <w:pPr>
        <w:numPr>
          <w:ilvl w:val="0"/>
          <w:numId w:val="5"/>
        </w:numPr>
        <w:spacing w:after="0" w:line="259" w:lineRule="auto"/>
        <w:ind w:left="142" w:hanging="29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664148" w:rsidRDefault="00664148" w:rsidP="00580E4E">
      <w:pPr>
        <w:numPr>
          <w:ilvl w:val="0"/>
          <w:numId w:val="6"/>
        </w:numPr>
        <w:spacing w:after="160" w:line="259" w:lineRule="auto"/>
        <w:ind w:left="-142" w:hanging="298"/>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α) σε περίπτωση </w:t>
      </w:r>
      <w:r w:rsidRPr="00664148">
        <w:rPr>
          <w:rFonts w:ascii="Calibri" w:eastAsia="Calibri" w:hAnsi="Calibri" w:cs="Times New Roman"/>
          <w:b/>
          <w:bCs/>
          <w:sz w:val="18"/>
        </w:rPr>
        <w:t>γραπτής εργασίας ή/και ασκήσεων:</w:t>
      </w:r>
      <w:r w:rsidR="00544385" w:rsidRPr="00C17BE0">
        <w:rPr>
          <w:rFonts w:ascii="Calibri" w:eastAsia="Calibri" w:hAnsi="Calibri" w:cs="Times New Roman"/>
          <w:sz w:val="18"/>
        </w:rPr>
        <w:t>ο χρόνος</w:t>
      </w:r>
      <w:r w:rsidRPr="00C17BE0">
        <w:rPr>
          <w:rFonts w:ascii="Calibri" w:eastAsia="Calibri" w:hAnsi="Calibri" w:cs="Times New Roman"/>
          <w:sz w:val="18"/>
        </w:rPr>
        <w:t xml:space="preserve"> παράδοσης </w:t>
      </w:r>
      <w:r w:rsidR="00544385" w:rsidRPr="00C17BE0">
        <w:rPr>
          <w:rFonts w:ascii="Calibri" w:eastAsia="Calibri" w:hAnsi="Calibri" w:cs="Times New Roman"/>
          <w:sz w:val="18"/>
        </w:rPr>
        <w:t xml:space="preserve">(π.χ. την τελευταία εβδομάδα του εξαμήνου) </w:t>
      </w:r>
      <w:r w:rsidRPr="00C17BE0">
        <w:rPr>
          <w:rFonts w:ascii="Calibri" w:eastAsia="Calibri" w:hAnsi="Calibri" w:cs="Times New Roman"/>
          <w:sz w:val="18"/>
        </w:rPr>
        <w:t>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w:t>
      </w:r>
    </w:p>
    <w:p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 τρόπος αποστολής του υπερσυνδέσμου, η διάρκεια της εξέτασης, ο </w:t>
      </w:r>
      <w:r w:rsidRPr="00664148">
        <w:rPr>
          <w:rFonts w:ascii="Calibri" w:eastAsia="Calibri" w:hAnsi="Calibri" w:cs="Times New Roman"/>
          <w:sz w:val="18"/>
        </w:rPr>
        <w:lastRenderedPageBreak/>
        <w:t xml:space="preserve">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w:t>
      </w:r>
    </w:p>
    <w:p w:rsidR="00664148" w:rsidRPr="00664148" w:rsidRDefault="00664148" w:rsidP="00580E4E">
      <w:pPr>
        <w:spacing w:after="160" w:line="259" w:lineRule="auto"/>
        <w:ind w:left="-142"/>
        <w:contextualSpacing/>
        <w:jc w:val="both"/>
        <w:rPr>
          <w:rFonts w:ascii="Calibri" w:eastAsia="Calibri" w:hAnsi="Calibri" w:cs="Times New Roman"/>
          <w:b/>
          <w:bCs/>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sectPr w:rsidR="00664148" w:rsidRPr="00664148" w:rsidSect="00580E4E">
      <w:headerReference w:type="default" r:id="rId8"/>
      <w:footerReference w:type="default" r:id="rId9"/>
      <w:pgSz w:w="11906" w:h="16838"/>
      <w:pgMar w:top="1418" w:right="1416" w:bottom="993"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2D2" w:rsidRDefault="008962D2" w:rsidP="0093078D">
      <w:pPr>
        <w:spacing w:after="0" w:line="240" w:lineRule="auto"/>
      </w:pPr>
      <w:r>
        <w:separator/>
      </w:r>
    </w:p>
  </w:endnote>
  <w:endnote w:type="continuationSeparator" w:id="1">
    <w:p w:rsidR="008962D2" w:rsidRDefault="008962D2" w:rsidP="00930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050C72"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050C72" w:rsidRPr="00FA1219">
      <w:rPr>
        <w:b/>
        <w:bCs/>
        <w:color w:val="244061" w:themeColor="accent1" w:themeShade="80"/>
        <w:sz w:val="16"/>
        <w:szCs w:val="16"/>
      </w:rPr>
      <w:fldChar w:fldCharType="separate"/>
    </w:r>
    <w:r w:rsidR="0083227B">
      <w:rPr>
        <w:b/>
        <w:bCs/>
        <w:noProof/>
        <w:color w:val="244061" w:themeColor="accent1" w:themeShade="80"/>
        <w:sz w:val="16"/>
        <w:szCs w:val="16"/>
      </w:rPr>
      <w:t>6</w:t>
    </w:r>
    <w:r w:rsidR="00050C72"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fldSimple w:instr="NUMPAGES  \* Arabic  \* MERGEFORMAT">
      <w:r w:rsidR="0083227B" w:rsidRPr="0083227B">
        <w:rPr>
          <w:b/>
          <w:bCs/>
          <w:noProof/>
          <w:color w:val="244061" w:themeColor="accent1" w:themeShade="80"/>
          <w:sz w:val="16"/>
          <w:szCs w:val="16"/>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2D2" w:rsidRDefault="008962D2" w:rsidP="0093078D">
      <w:pPr>
        <w:spacing w:after="0" w:line="240" w:lineRule="auto"/>
      </w:pPr>
      <w:r>
        <w:separator/>
      </w:r>
    </w:p>
  </w:footnote>
  <w:footnote w:type="continuationSeparator" w:id="1">
    <w:p w:rsidR="008962D2" w:rsidRDefault="008962D2" w:rsidP="00930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5A3A"/>
    <w:multiLevelType w:val="hybridMultilevel"/>
    <w:tmpl w:val="05FCDA00"/>
    <w:lvl w:ilvl="0" w:tplc="DE3C5686">
      <w:start w:val="1"/>
      <w:numFmt w:val="decimal"/>
      <w:lvlText w:val="%1."/>
      <w:lvlJc w:val="left"/>
      <w:pPr>
        <w:tabs>
          <w:tab w:val="num" w:pos="360"/>
        </w:tabs>
        <w:ind w:left="360" w:hanging="360"/>
      </w:pPr>
      <w:rPr>
        <w:rFonts w:hint="default"/>
        <w:b/>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
    <w:nsid w:val="07493468"/>
    <w:multiLevelType w:val="hybridMultilevel"/>
    <w:tmpl w:val="78AE14A6"/>
    <w:lvl w:ilvl="0" w:tplc="C4D48748">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D49684D"/>
    <w:multiLevelType w:val="hybridMultilevel"/>
    <w:tmpl w:val="A4749C9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3C4E49BD"/>
    <w:multiLevelType w:val="hybridMultilevel"/>
    <w:tmpl w:val="150A8E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5D7F2DBF"/>
    <w:multiLevelType w:val="hybridMultilevel"/>
    <w:tmpl w:val="34005E0C"/>
    <w:lvl w:ilvl="0" w:tplc="8154DA22">
      <w:start w:val="1"/>
      <w:numFmt w:val="decimal"/>
      <w:lvlText w:val="%1."/>
      <w:lvlJc w:val="left"/>
      <w:pPr>
        <w:ind w:left="360" w:hanging="360"/>
      </w:pPr>
      <w:rPr>
        <w:rFonts w:hint="default"/>
        <w:b w:val="0"/>
        <w:bCs/>
        <w:i w:val="0"/>
        <w:iC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6AC71064"/>
    <w:multiLevelType w:val="hybridMultilevel"/>
    <w:tmpl w:val="D8500158"/>
    <w:lvl w:ilvl="0" w:tplc="8E2A5F1A">
      <w:start w:val="1"/>
      <w:numFmt w:val="decimal"/>
      <w:lvlText w:val="%1)"/>
      <w:lvlJc w:val="left"/>
      <w:pPr>
        <w:ind w:left="312" w:hanging="360"/>
      </w:pPr>
      <w:rPr>
        <w:rFonts w:hint="default"/>
      </w:rPr>
    </w:lvl>
    <w:lvl w:ilvl="1" w:tplc="04080019" w:tentative="1">
      <w:start w:val="1"/>
      <w:numFmt w:val="lowerLetter"/>
      <w:lvlText w:val="%2."/>
      <w:lvlJc w:val="left"/>
      <w:pPr>
        <w:ind w:left="1032" w:hanging="360"/>
      </w:pPr>
    </w:lvl>
    <w:lvl w:ilvl="2" w:tplc="0408001B" w:tentative="1">
      <w:start w:val="1"/>
      <w:numFmt w:val="lowerRoman"/>
      <w:lvlText w:val="%3."/>
      <w:lvlJc w:val="right"/>
      <w:pPr>
        <w:ind w:left="1752" w:hanging="180"/>
      </w:pPr>
    </w:lvl>
    <w:lvl w:ilvl="3" w:tplc="0408000F" w:tentative="1">
      <w:start w:val="1"/>
      <w:numFmt w:val="decimal"/>
      <w:lvlText w:val="%4."/>
      <w:lvlJc w:val="left"/>
      <w:pPr>
        <w:ind w:left="2472" w:hanging="360"/>
      </w:pPr>
    </w:lvl>
    <w:lvl w:ilvl="4" w:tplc="04080019" w:tentative="1">
      <w:start w:val="1"/>
      <w:numFmt w:val="lowerLetter"/>
      <w:lvlText w:val="%5."/>
      <w:lvlJc w:val="left"/>
      <w:pPr>
        <w:ind w:left="3192" w:hanging="360"/>
      </w:pPr>
    </w:lvl>
    <w:lvl w:ilvl="5" w:tplc="0408001B" w:tentative="1">
      <w:start w:val="1"/>
      <w:numFmt w:val="lowerRoman"/>
      <w:lvlText w:val="%6."/>
      <w:lvlJc w:val="right"/>
      <w:pPr>
        <w:ind w:left="3912" w:hanging="180"/>
      </w:pPr>
    </w:lvl>
    <w:lvl w:ilvl="6" w:tplc="0408000F" w:tentative="1">
      <w:start w:val="1"/>
      <w:numFmt w:val="decimal"/>
      <w:lvlText w:val="%7."/>
      <w:lvlJc w:val="left"/>
      <w:pPr>
        <w:ind w:left="4632" w:hanging="360"/>
      </w:pPr>
    </w:lvl>
    <w:lvl w:ilvl="7" w:tplc="04080019" w:tentative="1">
      <w:start w:val="1"/>
      <w:numFmt w:val="lowerLetter"/>
      <w:lvlText w:val="%8."/>
      <w:lvlJc w:val="left"/>
      <w:pPr>
        <w:ind w:left="5352" w:hanging="360"/>
      </w:pPr>
    </w:lvl>
    <w:lvl w:ilvl="8" w:tplc="0408001B" w:tentative="1">
      <w:start w:val="1"/>
      <w:numFmt w:val="lowerRoman"/>
      <w:lvlText w:val="%9."/>
      <w:lvlJc w:val="right"/>
      <w:pPr>
        <w:ind w:left="6072" w:hanging="180"/>
      </w:pPr>
    </w:lvl>
  </w:abstractNum>
  <w:abstractNum w:abstractNumId="9">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1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3"/>
  </w:num>
  <w:num w:numId="5">
    <w:abstractNumId w:val="5"/>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1"/>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hdrShapeDefaults>
    <o:shapedefaults v:ext="edit" spidmax="29698"/>
  </w:hdrShapeDefaults>
  <w:footnotePr>
    <w:footnote w:id="0"/>
    <w:footnote w:id="1"/>
  </w:footnotePr>
  <w:endnotePr>
    <w:endnote w:id="0"/>
    <w:endnote w:id="1"/>
  </w:endnotePr>
  <w:compat/>
  <w:rsids>
    <w:rsidRoot w:val="00050B81"/>
    <w:rsid w:val="00035040"/>
    <w:rsid w:val="00047AC5"/>
    <w:rsid w:val="00050B81"/>
    <w:rsid w:val="00050C72"/>
    <w:rsid w:val="00052898"/>
    <w:rsid w:val="000A117C"/>
    <w:rsid w:val="000C17BA"/>
    <w:rsid w:val="000C4F29"/>
    <w:rsid w:val="000D22C3"/>
    <w:rsid w:val="000E346B"/>
    <w:rsid w:val="000F61F3"/>
    <w:rsid w:val="00113F37"/>
    <w:rsid w:val="001645E5"/>
    <w:rsid w:val="001A3F9B"/>
    <w:rsid w:val="001D27D6"/>
    <w:rsid w:val="001E4C76"/>
    <w:rsid w:val="001E4DAD"/>
    <w:rsid w:val="0020571B"/>
    <w:rsid w:val="002A36B4"/>
    <w:rsid w:val="002B71B0"/>
    <w:rsid w:val="003071DC"/>
    <w:rsid w:val="00330403"/>
    <w:rsid w:val="0033499E"/>
    <w:rsid w:val="003519FD"/>
    <w:rsid w:val="003A2EAF"/>
    <w:rsid w:val="003A733E"/>
    <w:rsid w:val="003B45BC"/>
    <w:rsid w:val="003E7D92"/>
    <w:rsid w:val="00404CED"/>
    <w:rsid w:val="00411781"/>
    <w:rsid w:val="00412FC9"/>
    <w:rsid w:val="00456759"/>
    <w:rsid w:val="00506321"/>
    <w:rsid w:val="00544385"/>
    <w:rsid w:val="00551F1C"/>
    <w:rsid w:val="00580E4E"/>
    <w:rsid w:val="0058208B"/>
    <w:rsid w:val="005E169E"/>
    <w:rsid w:val="00600B0F"/>
    <w:rsid w:val="00631977"/>
    <w:rsid w:val="00641E0B"/>
    <w:rsid w:val="00664148"/>
    <w:rsid w:val="00670120"/>
    <w:rsid w:val="006C1D88"/>
    <w:rsid w:val="006E11D3"/>
    <w:rsid w:val="00705DD6"/>
    <w:rsid w:val="00713A69"/>
    <w:rsid w:val="007245CC"/>
    <w:rsid w:val="00726337"/>
    <w:rsid w:val="0079261D"/>
    <w:rsid w:val="007B2AE5"/>
    <w:rsid w:val="0083227B"/>
    <w:rsid w:val="00892CAD"/>
    <w:rsid w:val="00894A9C"/>
    <w:rsid w:val="008962D2"/>
    <w:rsid w:val="008E02E2"/>
    <w:rsid w:val="008F1699"/>
    <w:rsid w:val="009063A4"/>
    <w:rsid w:val="00907017"/>
    <w:rsid w:val="00927595"/>
    <w:rsid w:val="0093078D"/>
    <w:rsid w:val="0097061B"/>
    <w:rsid w:val="00974C95"/>
    <w:rsid w:val="00981569"/>
    <w:rsid w:val="00987BAB"/>
    <w:rsid w:val="009B3387"/>
    <w:rsid w:val="009F5628"/>
    <w:rsid w:val="00A06114"/>
    <w:rsid w:val="00A45BD0"/>
    <w:rsid w:val="00AB6B1B"/>
    <w:rsid w:val="00AC48BF"/>
    <w:rsid w:val="00B05196"/>
    <w:rsid w:val="00B25922"/>
    <w:rsid w:val="00B66EDB"/>
    <w:rsid w:val="00B844FB"/>
    <w:rsid w:val="00B97427"/>
    <w:rsid w:val="00BA1D4B"/>
    <w:rsid w:val="00BB2C88"/>
    <w:rsid w:val="00BD0EE3"/>
    <w:rsid w:val="00BD45C4"/>
    <w:rsid w:val="00BE7D73"/>
    <w:rsid w:val="00C0168F"/>
    <w:rsid w:val="00C01980"/>
    <w:rsid w:val="00C16B57"/>
    <w:rsid w:val="00C17BE0"/>
    <w:rsid w:val="00C42B6D"/>
    <w:rsid w:val="00CA05B5"/>
    <w:rsid w:val="00CB65DF"/>
    <w:rsid w:val="00D038C8"/>
    <w:rsid w:val="00D05B60"/>
    <w:rsid w:val="00D44699"/>
    <w:rsid w:val="00D9278F"/>
    <w:rsid w:val="00DB3F60"/>
    <w:rsid w:val="00E35749"/>
    <w:rsid w:val="00E73EE4"/>
    <w:rsid w:val="00EB207D"/>
    <w:rsid w:val="00F077EC"/>
    <w:rsid w:val="00F5680E"/>
    <w:rsid w:val="00F83FD3"/>
    <w:rsid w:val="00F947BF"/>
    <w:rsid w:val="00FA1219"/>
    <w:rsid w:val="00FE0513"/>
    <w:rsid w:val="00FE2186"/>
    <w:rsid w:val="00FF37E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character" w:styleId="-">
    <w:name w:val="Hyperlink"/>
    <w:basedOn w:val="a0"/>
    <w:uiPriority w:val="99"/>
    <w:unhideWhenUsed/>
    <w:rsid w:val="003519FD"/>
    <w:rPr>
      <w:color w:val="0000FF" w:themeColor="hyperlink"/>
      <w:u w:val="single"/>
    </w:rPr>
  </w:style>
  <w:style w:type="character" w:customStyle="1" w:styleId="author">
    <w:name w:val="author"/>
    <w:basedOn w:val="a0"/>
    <w:uiPriority w:val="99"/>
    <w:rsid w:val="003A2EAF"/>
  </w:style>
  <w:style w:type="paragraph" w:customStyle="1" w:styleId="bibliographyreferences">
    <w:name w:val="bibliography_references"/>
    <w:uiPriority w:val="99"/>
    <w:rsid w:val="003A2EAF"/>
    <w:pPr>
      <w:spacing w:after="120" w:line="240" w:lineRule="auto"/>
      <w:ind w:left="720" w:hanging="720"/>
    </w:pPr>
    <w:rPr>
      <w:rFonts w:ascii="Times New Roman" w:eastAsia="MS Mincho" w:hAnsi="Times New Roman" w:cs="Times New Roman"/>
    </w:rPr>
  </w:style>
</w:styles>
</file>

<file path=word/webSettings.xml><?xml version="1.0" encoding="utf-8"?>
<w:webSettings xmlns:r="http://schemas.openxmlformats.org/officeDocument/2006/relationships" xmlns:w="http://schemas.openxmlformats.org/wordprocessingml/2006/main">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kosta@phyed.duth.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2351</Words>
  <Characters>12699</Characters>
  <Application>Microsoft Office Word</Application>
  <DocSecurity>0</DocSecurity>
  <Lines>105</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4</cp:revision>
  <cp:lastPrinted>2021-01-15T07:09:00Z</cp:lastPrinted>
  <dcterms:created xsi:type="dcterms:W3CDTF">2022-12-04T08:03:00Z</dcterms:created>
  <dcterms:modified xsi:type="dcterms:W3CDTF">2022-12-04T16:02:00Z</dcterms:modified>
</cp:coreProperties>
</file>