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8A5A2B"/>
          <w:spacing w:val="16"/>
          <w:sz w:val="20"/>
          <w:szCs w:val="20"/>
        </w:rPr>
        <w:t xml:space="preserve">TRANSCRIPTION WORKSHOP</w:t>
      </w:r>
    </w:p>
    <w:p>
      <w:pPr>
        <w:spacing w:after="80"/>
        <w:jc w:val="center"/>
      </w:pPr>
      <w:r>
        <w:rPr>
          <w:rFonts w:ascii="Cambria" w:cs="Cambria" w:eastAsia="Cambria" w:hAnsi="Cambria"/>
          <w:b/>
          <w:bCs/>
          <w:color w:val="2B2B2B"/>
          <w:sz w:val="40"/>
          <w:szCs w:val="40"/>
        </w:rPr>
        <w:t xml:space="preserve">Laurentianus Plut. 58.24 — Scribe D</w:t>
      </w:r>
    </w:p>
    <w:p>
      <w:pPr>
        <w:spacing w:after="260"/>
        <w:jc w:val="center"/>
      </w:pPr>
      <w:r>
        <w:rPr>
          <w:rFonts w:ascii="Calibri" w:cs="Calibri" w:eastAsia="Calibri" w:hAnsi="Calibri"/>
          <w:i/>
          <w:iCs/>
          <w:color w:val="6B6B6B"/>
          <w:sz w:val="19"/>
          <w:szCs w:val="19"/>
        </w:rPr>
        <w:t xml:space="preserve">Raffaella Cantore / Chiara Telesca</w:t>
      </w:r>
    </w:p>
    <w:p>
      <w:pPr>
        <w:spacing w:after="160" w:line="280"/>
        <w:jc w:val="both"/>
      </w:pPr>
      <w:r>
        <w:rPr>
          <w:rFonts w:ascii="Calibri" w:cs="Calibri" w:eastAsia="Calibri" w:hAnsi="Calibri"/>
          <w:i w:val="false"/>
          <w:iCs w:val="false"/>
          <w:color w:val="2B2B2B"/>
          <w:sz w:val="21"/>
          <w:szCs w:val="21"/>
        </w:rPr>
        <w:t xml:space="preserve">Scribe D begins his main contribution at folio 63 recto and copies, among other sections, parchment quire θ (folios 71–78), which contains most of the Metabaseis.</w:t>
      </w:r>
    </w:p>
    <w:p>
      <w:pPr>
        <w:spacing w:after="160" w:line="280"/>
        <w:jc w:val="both"/>
      </w:pPr>
      <w:r>
        <w:rPr>
          <w:rFonts w:ascii="Calibri" w:cs="Calibri" w:eastAsia="Calibri" w:hAnsi="Calibri"/>
          <w:i w:val="false"/>
          <w:iCs w:val="false"/>
          <w:color w:val="2B2B2B"/>
          <w:sz w:val="21"/>
          <w:szCs w:val="21"/>
        </w:rPr>
        <w:t xml:space="preserve">Although D’s ductus varies considerably throughout the manuscript — in speed and care of execution, letter size and formation, slant, writing angle, and the number and length of written lines — a number of recurring letterforms and ligatures make the hand recognisable.</w:t>
      </w:r>
    </w:p>
    <w:p>
      <w:pPr>
        <w:pStyle w:val="ListParagraph"/>
        <w:numPr>
          <w:ilvl w:val="0"/>
          <w:numId w:val="2"/>
        </w:numPr>
        <w:spacing w:after="130" w:line="270"/>
        <w:jc w:val="both"/>
      </w:pPr>
      <w:r>
        <w:rPr>
          <w:rFonts w:ascii="Calibri" w:cs="Calibri" w:eastAsia="Calibri" w:hAnsi="Calibri"/>
          <w:b/>
          <w:bCs/>
          <w:color w:val="2B2B2B"/>
          <w:sz w:val="21"/>
          <w:szCs w:val="21"/>
        </w:rPr>
        <w:t xml:space="preserve">Nu </w:t>
      </w:r>
      <w:r>
        <w:rPr>
          <w:rFonts w:ascii="Calibri" w:cs="Calibri" w:eastAsia="Calibri" w:hAnsi="Calibri"/>
          <w:i w:val="false"/>
          <w:iCs w:val="false"/>
          <w:color w:val="2B2B2B"/>
          <w:sz w:val="21"/>
          <w:szCs w:val="21"/>
        </w:rPr>
        <w:t xml:space="preserve">— a distinctive “archer-shaped” form: the first vertical stroke is straight, while the second curves like a bow.</w:t>
      </w:r>
    </w:p>
    <w:p>
      <w:pPr>
        <w:pStyle w:val="ListParagraph"/>
        <w:numPr>
          <w:ilvl w:val="0"/>
          <w:numId w:val="2"/>
        </w:numPr>
        <w:spacing w:after="130" w:line="270"/>
        <w:jc w:val="both"/>
      </w:pPr>
      <w:r>
        <w:rPr>
          <w:rFonts w:ascii="Calibri" w:cs="Calibri" w:eastAsia="Calibri" w:hAnsi="Calibri"/>
          <w:b/>
          <w:bCs/>
          <w:color w:val="2B2B2B"/>
          <w:sz w:val="21"/>
          <w:szCs w:val="21"/>
        </w:rPr>
        <w:t xml:space="preserve">Epsilon–pi ligature </w:t>
      </w:r>
      <w:r>
        <w:rPr>
          <w:rFonts w:ascii="Calibri" w:cs="Calibri" w:eastAsia="Calibri" w:hAnsi="Calibri"/>
          <w:i w:val="false"/>
          <w:iCs w:val="false"/>
          <w:color w:val="2B2B2B"/>
          <w:sz w:val="21"/>
          <w:szCs w:val="21"/>
        </w:rPr>
        <w:t xml:space="preserve">— the loop of epsilon rises above the horizontal stroke of pi and may lean markedly to the left, forming an angle with the initial vertical stroke of pi.</w:t>
      </w:r>
    </w:p>
    <w:p>
      <w:pPr>
        <w:pStyle w:val="ListParagraph"/>
        <w:numPr>
          <w:ilvl w:val="0"/>
          <w:numId w:val="2"/>
        </w:numPr>
        <w:spacing w:after="130" w:line="270"/>
        <w:jc w:val="both"/>
      </w:pPr>
      <w:r>
        <w:rPr>
          <w:rFonts w:ascii="Calibri" w:cs="Calibri" w:eastAsia="Calibri" w:hAnsi="Calibri"/>
          <w:b/>
          <w:bCs/>
          <w:color w:val="2B2B2B"/>
          <w:sz w:val="21"/>
          <w:szCs w:val="21"/>
        </w:rPr>
        <w:t xml:space="preserve">Gamma </w:t>
      </w:r>
      <w:r>
        <w:rPr>
          <w:rFonts w:ascii="Calibri" w:cs="Calibri" w:eastAsia="Calibri" w:hAnsi="Calibri"/>
          <w:i w:val="false"/>
          <w:iCs w:val="false"/>
          <w:color w:val="2B2B2B"/>
          <w:sz w:val="21"/>
          <w:szCs w:val="21"/>
        </w:rPr>
        <w:t xml:space="preserve">— formed by two strokes converging towards the bottom; the following letter is attached to the top of the second stroke. The gamma–iota ligature is particularly characteristic.</w:t>
      </w:r>
    </w:p>
    <w:p>
      <w:pPr>
        <w:pStyle w:val="ListParagraph"/>
        <w:numPr>
          <w:ilvl w:val="0"/>
          <w:numId w:val="2"/>
        </w:numPr>
        <w:spacing w:after="130" w:line="270"/>
        <w:jc w:val="both"/>
      </w:pPr>
      <w:r>
        <w:rPr>
          <w:rFonts w:ascii="Calibri" w:cs="Calibri" w:eastAsia="Calibri" w:hAnsi="Calibri"/>
          <w:b/>
          <w:bCs/>
          <w:color w:val="2B2B2B"/>
          <w:sz w:val="21"/>
          <w:szCs w:val="21"/>
        </w:rPr>
        <w:t xml:space="preserve">Omega </w:t>
      </w:r>
      <w:r>
        <w:rPr>
          <w:rFonts w:ascii="Calibri" w:cs="Calibri" w:eastAsia="Calibri" w:hAnsi="Calibri"/>
          <w:i w:val="false"/>
          <w:iCs w:val="false"/>
          <w:color w:val="2B2B2B"/>
          <w:sz w:val="21"/>
          <w:szCs w:val="21"/>
        </w:rPr>
        <w:t xml:space="preserve">— a closed form, sometimes flattened on the baseline, with a characteristic “sandwich-shaped” appearance.</w:t>
      </w:r>
    </w:p>
    <w:p>
      <w:pPr>
        <w:pStyle w:val="ListParagraph"/>
        <w:numPr>
          <w:ilvl w:val="0"/>
          <w:numId w:val="2"/>
        </w:numPr>
        <w:spacing w:after="130" w:line="270"/>
        <w:jc w:val="both"/>
      </w:pPr>
      <w:r>
        <w:rPr>
          <w:rFonts w:ascii="Calibri" w:cs="Calibri" w:eastAsia="Calibri" w:hAnsi="Calibri"/>
          <w:b/>
          <w:bCs/>
          <w:color w:val="2B2B2B"/>
          <w:sz w:val="21"/>
          <w:szCs w:val="21"/>
        </w:rPr>
        <w:t xml:space="preserve">Beta–omicron ligature </w:t>
      </w:r>
      <w:r>
        <w:rPr>
          <w:rFonts w:ascii="Calibri" w:cs="Calibri" w:eastAsia="Calibri" w:hAnsi="Calibri"/>
          <w:i w:val="false"/>
          <w:iCs w:val="false"/>
          <w:color w:val="2B2B2B"/>
          <w:sz w:val="21"/>
          <w:szCs w:val="21"/>
        </w:rPr>
        <w:t xml:space="preserve">— a recurring diagnostic form attested in different sections written by 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3100"/>
            <w:tcBorders>
              <w:top w:val="none"/>
              <w:left w:val="none"/>
              <w:bottom w:val="none"/>
              <w:right w:val="none"/>
            </w:tcBorders>
            <w:tcMar>
              <w:top w:type="dxa" w:w="100"/>
              <w:left w:type="dxa" w:w="100"/>
              <w:bottom w:type="dxa" w:w="100"/>
              <w:right w:type="dxa" w:w="100"/>
            </w:tcMar>
          </w:tcPr>
          <w:p>
            <w:pPr>
              <w:spacing w:after="60"/>
              <w:jc w:val="center"/>
            </w:pPr>
            <w:r>
              <w:drawing>
                <wp:inline distT="0" distB="0" distL="0" distR="0">
                  <wp:extent cx="2095500"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0" cy="981075"/>
                          </a:xfrm>
                          <a:prstGeom prst="rect">
                            <a:avLst/>
                          </a:prstGeom>
                        </pic:spPr>
                      </pic:pic>
                    </a:graphicData>
                  </a:graphic>
                </wp:inline>
              </w:drawing>
            </w:r>
          </w:p>
          <w:p>
            <w:pPr>
              <w:spacing w:after="20"/>
              <w:jc w:val="center"/>
            </w:pPr>
            <w:r>
              <w:rPr>
                <w:rFonts w:ascii="Calibri" w:cs="Calibri" w:eastAsia="Calibri" w:hAnsi="Calibri"/>
                <w:b/>
                <w:bCs/>
                <w:color w:val="8A5A2B"/>
                <w:sz w:val="17"/>
                <w:szCs w:val="17"/>
              </w:rPr>
              <w:t xml:space="preserve">Nu</w:t>
            </w:r>
          </w:p>
          <w:p>
            <w:pPr>
              <w:jc w:val="center"/>
            </w:pPr>
            <w:r>
              <w:rPr>
                <w:rFonts w:ascii="Calibri" w:cs="Calibri" w:eastAsia="Calibri" w:hAnsi="Calibri"/>
                <w:color w:val="6B6B6B"/>
                <w:sz w:val="16"/>
                <w:szCs w:val="16"/>
              </w:rPr>
              <w:t xml:space="preserve">“Archer” shape: the first vertical stroke is straight, the second curves like a bow.</w:t>
            </w:r>
          </w:p>
        </w:tc>
        <w:tc>
          <w:tcPr>
            <w:tcW w:type="dxa" w:w="3100"/>
            <w:tcBorders>
              <w:top w:val="none"/>
              <w:left w:val="none"/>
              <w:bottom w:val="none"/>
              <w:right w:val="none"/>
            </w:tcBorders>
            <w:tcMar>
              <w:top w:type="dxa" w:w="100"/>
              <w:left w:type="dxa" w:w="100"/>
              <w:bottom w:type="dxa" w:w="100"/>
              <w:right w:type="dxa" w:w="100"/>
            </w:tcMar>
          </w:tcPr>
          <w:p>
            <w:pPr>
              <w:spacing w:after="60"/>
              <w:jc w:val="center"/>
            </w:pPr>
            <w:r>
              <w:drawing>
                <wp:inline distT="0" distB="0" distL="0" distR="0">
                  <wp:extent cx="2095500"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904875"/>
                          </a:xfrm>
                          <a:prstGeom prst="rect">
                            <a:avLst/>
                          </a:prstGeom>
                        </pic:spPr>
                      </pic:pic>
                    </a:graphicData>
                  </a:graphic>
                </wp:inline>
              </w:drawing>
            </w:r>
          </w:p>
          <w:p>
            <w:pPr>
              <w:spacing w:after="20"/>
              <w:jc w:val="center"/>
            </w:pPr>
            <w:r>
              <w:rPr>
                <w:rFonts w:ascii="Calibri" w:cs="Calibri" w:eastAsia="Calibri" w:hAnsi="Calibri"/>
                <w:b/>
                <w:bCs/>
                <w:color w:val="8A5A2B"/>
                <w:sz w:val="17"/>
                <w:szCs w:val="17"/>
              </w:rPr>
              <w:t xml:space="preserve">Epsilon–pi ligature</w:t>
            </w:r>
          </w:p>
          <w:p>
            <w:pPr>
              <w:jc w:val="center"/>
            </w:pPr>
            <w:r>
              <w:rPr>
                <w:rFonts w:ascii="Calibri" w:cs="Calibri" w:eastAsia="Calibri" w:hAnsi="Calibri"/>
                <w:color w:val="6B6B6B"/>
                <w:sz w:val="16"/>
                <w:szCs w:val="16"/>
              </w:rPr>
              <w:t xml:space="preserve">The loop of epsilon rises above the head-stroke of pi, leaning left and meeting its initial stroke.</w:t>
            </w:r>
          </w:p>
        </w:tc>
      </w:tr>
      <w:tr>
        <w:tc>
          <w:tcPr>
            <w:tcW w:type="dxa" w:w="3100"/>
            <w:tcBorders>
              <w:top w:val="none"/>
              <w:left w:val="none"/>
              <w:bottom w:val="none"/>
              <w:right w:val="none"/>
            </w:tcBorders>
            <w:tcMar>
              <w:top w:type="dxa" w:w="100"/>
              <w:left w:type="dxa" w:w="100"/>
              <w:bottom w:type="dxa" w:w="100"/>
              <w:right w:type="dxa" w:w="100"/>
            </w:tcMar>
          </w:tcPr>
          <w:p>
            <w:pPr>
              <w:spacing w:after="60"/>
              <w:jc w:val="center"/>
            </w:pPr>
            <w:r>
              <w:drawing>
                <wp:inline distT="0" distB="0" distL="0" distR="0">
                  <wp:extent cx="2095500" cy="99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095500" cy="990600"/>
                          </a:xfrm>
                          <a:prstGeom prst="rect">
                            <a:avLst/>
                          </a:prstGeom>
                        </pic:spPr>
                      </pic:pic>
                    </a:graphicData>
                  </a:graphic>
                </wp:inline>
              </w:drawing>
            </w:r>
          </w:p>
          <w:p>
            <w:pPr>
              <w:spacing w:after="20"/>
              <w:jc w:val="center"/>
            </w:pPr>
            <w:r>
              <w:rPr>
                <w:rFonts w:ascii="Calibri" w:cs="Calibri" w:eastAsia="Calibri" w:hAnsi="Calibri"/>
                <w:b/>
                <w:bCs/>
                <w:color w:val="8A5A2B"/>
                <w:sz w:val="17"/>
                <w:szCs w:val="17"/>
              </w:rPr>
              <w:t xml:space="preserve">Gamma and its ligature</w:t>
            </w:r>
          </w:p>
          <w:p>
            <w:pPr>
              <w:jc w:val="center"/>
            </w:pPr>
            <w:r>
              <w:rPr>
                <w:rFonts w:ascii="Calibri" w:cs="Calibri" w:eastAsia="Calibri" w:hAnsi="Calibri"/>
                <w:color w:val="6B6B6B"/>
                <w:sz w:val="16"/>
                <w:szCs w:val="16"/>
              </w:rPr>
              <w:t xml:space="preserve">Two strokes converging at the base; the next letter attaches to the top of the second stroke.</w:t>
            </w:r>
          </w:p>
        </w:tc>
        <w:tc>
          <w:tcPr>
            <w:tcW w:type="dxa" w:w="3100"/>
            <w:tcBorders>
              <w:top w:val="none"/>
              <w:left w:val="none"/>
              <w:bottom w:val="none"/>
              <w:right w:val="none"/>
            </w:tcBorders>
            <w:tcMar>
              <w:top w:type="dxa" w:w="100"/>
              <w:left w:type="dxa" w:w="100"/>
              <w:bottom w:type="dxa" w:w="100"/>
              <w:right w:type="dxa" w:w="100"/>
            </w:tcMar>
          </w:tcPr>
          <w:p>
            <w:pPr>
              <w:spacing w:after="60"/>
              <w:jc w:val="center"/>
            </w:pPr>
            <w:r>
              <w:drawing>
                <wp:inline distT="0" distB="0" distL="0" distR="0">
                  <wp:extent cx="2095500" cy="83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095500" cy="838200"/>
                          </a:xfrm>
                          <a:prstGeom prst="rect">
                            <a:avLst/>
                          </a:prstGeom>
                        </pic:spPr>
                      </pic:pic>
                    </a:graphicData>
                  </a:graphic>
                </wp:inline>
              </w:drawing>
            </w:r>
          </w:p>
          <w:p>
            <w:pPr>
              <w:spacing w:after="20"/>
              <w:jc w:val="center"/>
            </w:pPr>
            <w:r>
              <w:rPr>
                <w:rFonts w:ascii="Calibri" w:cs="Calibri" w:eastAsia="Calibri" w:hAnsi="Calibri"/>
                <w:b/>
                <w:bCs/>
                <w:color w:val="8A5A2B"/>
                <w:sz w:val="17"/>
                <w:szCs w:val="17"/>
              </w:rPr>
              <w:t xml:space="preserve">Delta and its ligature</w:t>
            </w:r>
          </w:p>
          <w:p>
            <w:pPr>
              <w:jc w:val="center"/>
            </w:pPr>
            <w:r>
              <w:rPr>
                <w:rFonts w:ascii="Calibri" w:cs="Calibri" w:eastAsia="Calibri" w:hAnsi="Calibri"/>
                <w:color w:val="6B6B6B"/>
                <w:sz w:val="16"/>
                <w:szCs w:val="16"/>
              </w:rPr>
              <w:t xml:space="preserve">Minuscule form only, with a very small loop — included here for comparison.</w:t>
            </w:r>
          </w:p>
        </w:tc>
      </w:tr>
    </w:tbl>
    <w:p>
      <w:pPr>
        <w:pBdr>
          <w:bottom w:val="single" w:color="C9BBA0" w:sz="6" w:space="4"/>
        </w:pBdr>
        <w:spacing w:after="140" w:before="320"/>
      </w:pPr>
      <w:r>
        <w:rPr>
          <w:rFonts w:ascii="Calibri" w:cs="Calibri" w:eastAsia="Calibri" w:hAnsi="Calibri"/>
          <w:b/>
          <w:bCs/>
          <w:color w:val="8A5A2B"/>
          <w:spacing w:val="12"/>
          <w:sz w:val="22"/>
          <w:szCs w:val="22"/>
        </w:rPr>
        <w:t xml:space="preserve">VARIATION WITHIN THE HAND</w:t>
      </w:r>
    </w:p>
    <w:p>
      <w:pPr>
        <w:spacing w:after="160" w:line="280"/>
        <w:jc w:val="both"/>
      </w:pPr>
      <w:r>
        <w:rPr>
          <w:rFonts w:ascii="Calibri" w:cs="Calibri" w:eastAsia="Calibri" w:hAnsi="Calibri"/>
          <w:i w:val="false"/>
          <w:iCs w:val="false"/>
          <w:color w:val="2B2B2B"/>
          <w:sz w:val="21"/>
          <w:szCs w:val="21"/>
        </w:rPr>
        <w:t xml:space="preserve">Individual folios can look strikingly different in module, spacing, number of lines, margins, and general degree of formality while retaining the same diagnostic letterforms and ligatures. For example, folio 67 recto has large letters, 22 lines, and a wide right margin; folio 92 recto has smaller letters, 26 lines, and a narrower right margin; folio 120 recto has 24 lines and no margin. The recurring forms of nu and the epsilon–pi ligature support their attribution to the same scribe.</w:t>
      </w:r>
    </w:p>
    <w:p>
      <w:pPr>
        <w:pBdr>
          <w:bottom w:val="single" w:color="C9BBA0" w:sz="6" w:space="4"/>
        </w:pBdr>
        <w:spacing w:after="140" w:before="320"/>
      </w:pPr>
      <w:r>
        <w:rPr>
          <w:rFonts w:ascii="Calibri" w:cs="Calibri" w:eastAsia="Calibri" w:hAnsi="Calibri"/>
          <w:b/>
          <w:bCs/>
          <w:color w:val="8A5A2B"/>
          <w:spacing w:val="12"/>
          <w:sz w:val="22"/>
          <w:szCs w:val="22"/>
        </w:rPr>
        <w:t xml:space="preserve">SCRIBE D WITHIN THE MANUSCRIPT</w:t>
      </w:r>
    </w:p>
    <w:p>
      <w:pPr>
        <w:spacing w:after="160" w:line="280"/>
        <w:jc w:val="both"/>
      </w:pPr>
      <w:r>
        <w:rPr>
          <w:rFonts w:ascii="Calibri" w:cs="Calibri" w:eastAsia="Calibri" w:hAnsi="Calibri"/>
          <w:i w:val="false"/>
          <w:iCs w:val="false"/>
          <w:color w:val="2B2B2B"/>
          <w:sz w:val="21"/>
          <w:szCs w:val="21"/>
        </w:rPr>
        <w:t xml:space="preserve">D is also responsible for titles, enlarged or ekthesis letters, and numerous marginal glosses in sections copied by the professional calligrapher C. Some of these marginal additions supply omitted passages from Hermogenes’ Περὶ ἰδεῶν or excerpts from its commentary. These interventions show that D’s role extended beyond the straightforward copying of continuous text.</w:t>
      </w:r>
    </w:p>
    <w:p>
      <w:pPr>
        <w:pBdr>
          <w:bottom w:val="single" w:color="C9BBA0" w:sz="6" w:space="4"/>
        </w:pBdr>
        <w:spacing w:after="140" w:before="320"/>
      </w:pPr>
      <w:r>
        <w:rPr>
          <w:rFonts w:ascii="Calibri" w:cs="Calibri" w:eastAsia="Calibri" w:hAnsi="Calibri"/>
          <w:b/>
          <w:bCs/>
          <w:color w:val="8A5A2B"/>
          <w:spacing w:val="12"/>
          <w:sz w:val="22"/>
          <w:szCs w:val="22"/>
        </w:rPr>
        <w:t xml:space="preserve">3. EXERCISE</w:t>
      </w:r>
    </w:p>
    <w:p>
      <w:pPr>
        <w:spacing w:after="160" w:line="280"/>
        <w:jc w:val="both"/>
      </w:pPr>
      <w:r>
        <w:rPr>
          <w:rFonts w:ascii="Calibri" w:cs="Calibri" w:eastAsia="Calibri" w:hAnsi="Calibri"/>
          <w:i w:val="false"/>
          <w:iCs w:val="false"/>
          <w:color w:val="2B2B2B"/>
          <w:sz w:val="21"/>
          <w:szCs w:val="21"/>
        </w:rPr>
        <w:t xml:space="preserve">Working from the manuscript photograph provided separately, transcribe fol. 71r line by line into the grid below. Mark ligatures you recognise above, note abbreviations, and flag any reading you are unsure of.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8460"/>
      </w:tblGrid>
      <w:tr>
        <w:trPr>
          <w:trHeight w:val="420" w:hRule="atLeast"/>
        </w:trPr>
        <w:tc>
          <w:tcPr>
            <w:tcW w:type="dxa" w:w="900"/>
            <w:shd w:fill="F2ECE0" w:val="clear"/>
            <w:vAlign w:val="center"/>
          </w:tcPr>
          <w:p>
            <w:pPr>
              <w:jc w:val="center"/>
            </w:pPr>
            <w:r>
              <w:rPr>
                <w:rFonts w:ascii="Calibri" w:cs="Calibri" w:eastAsia="Calibri" w:hAnsi="Calibri"/>
                <w:b/>
                <w:bCs/>
                <w:color w:val="8A5A2B"/>
                <w:sz w:val="17"/>
                <w:szCs w:val="17"/>
              </w:rPr>
              <w:t xml:space="preserve">L.</w:t>
            </w:r>
          </w:p>
        </w:tc>
        <w:tc>
          <w:tcPr>
            <w:tcW w:type="dxa" w:w="8460"/>
            <w:shd w:fill="F2ECE0" w:val="clear"/>
            <w:vAlign w:val="center"/>
          </w:tcPr>
          <w:p>
            <w:r>
              <w:rPr>
                <w:rFonts w:ascii="Calibri" w:cs="Calibri" w:eastAsia="Calibri" w:hAnsi="Calibri"/>
                <w:b/>
                <w:bCs/>
                <w:color w:val="8A5A2B"/>
                <w:sz w:val="17"/>
                <w:szCs w:val="17"/>
              </w:rPr>
              <w:t xml:space="preserve">Transcription</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1</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2</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3</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4</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5</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6</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7</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8</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9</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10</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11</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12</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13</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14</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15</w:t>
            </w:r>
          </w:p>
        </w:tc>
        <w:tc>
          <w:tcPr>
            <w:tcW w:type="dxa" w:w="8460"/>
            <w:vAlign w:val="center"/>
          </w:tcPr>
          <w:p>
            <w:r>
              <w:rPr>
                <w:sz w:val="17"/>
                <w:szCs w:val="17"/>
              </w:rPr>
              <w:t xml:space="preserve"> </w:t>
            </w:r>
          </w:p>
        </w:tc>
      </w:tr>
      <w:tr>
        <w:trPr>
          <w:trHeight w:val="560" w:hRule="atLeast"/>
        </w:trPr>
        <w:tc>
          <w:tcPr>
            <w:tcW w:type="dxa" w:w="900"/>
            <w:vAlign w:val="center"/>
          </w:tcPr>
          <w:p>
            <w:pPr>
              <w:jc w:val="center"/>
            </w:pPr>
            <w:r>
              <w:rPr>
                <w:rFonts w:ascii="Calibri" w:cs="Calibri" w:eastAsia="Calibri" w:hAnsi="Calibri"/>
                <w:color w:val="6B6B6B"/>
                <w:sz w:val="17"/>
                <w:szCs w:val="17"/>
              </w:rPr>
              <w:t xml:space="preserve">16</w:t>
            </w:r>
          </w:p>
        </w:tc>
        <w:tc>
          <w:tcPr>
            <w:tcW w:type="dxa" w:w="8460"/>
            <w:vAlign w:val="center"/>
          </w:tcPr>
          <w:p>
            <w:r>
              <w:rPr>
                <w:sz w:val="17"/>
                <w:szCs w:val="17"/>
              </w:rPr>
              <w:t xml:space="preserve"> </w:t>
            </w:r>
          </w:p>
        </w:tc>
      </w:tr>
    </w:tbl>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B6B"/>
        <w:sz w:val="15"/>
        <w:szCs w:val="15"/>
      </w:rPr>
      <w:t xml:space="preserve">Laur. Plut. 58.24, fol. 71r  ·  Transcription Workshop  ·  p. </w:t>
    </w:r>
    <w:r>
      <w:rPr>
        <w:rFonts w:ascii="Calibri" w:cs="Calibri" w:eastAsia="Calibri" w:hAnsi="Calibri"/>
        <w:color w:val="6B6B6B"/>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4be45eabbbc4cfb96e27fde271303a933d0c4f4.jpg"/><Relationship Id="rId9" Type="http://schemas.openxmlformats.org/officeDocument/2006/relationships/image" Target="media/e659312d47a655b32d336a0a2e0d971f79f18a32.jpg"/><Relationship Id="rId10" Type="http://schemas.openxmlformats.org/officeDocument/2006/relationships/image" Target="media/0c6680d8f3724ab145c606a6c29c7373b5479047.jpg"/><Relationship Id="rId11" Type="http://schemas.openxmlformats.org/officeDocument/2006/relationships/image" Target="media/27fb8554822a97370b2c8ab5d6d82792d92bdbe1.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2026-09-12T05:48:09.768Z</dcterms:created>
  <dcterms:modified xsi:type="dcterms:W3CDTF">2026-09-12T05:48:09.768Z</dcterms:modified>
</cp:coreProperties>
</file>

<file path=docProps/custom.xml><?xml version="1.0" encoding="utf-8"?>
<Properties xmlns="http://schemas.openxmlformats.org/officeDocument/2006/custom-properties" xmlns:vt="http://schemas.openxmlformats.org/officeDocument/2006/docPropsVTypes"/>
</file>