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3EE" w:rsidRPr="00D11885" w:rsidRDefault="00241231" w:rsidP="008313A5">
      <w:pPr>
        <w:spacing w:line="360" w:lineRule="auto"/>
        <w:jc w:val="center"/>
        <w:rPr>
          <w:b/>
          <w:u w:val="single"/>
        </w:rPr>
      </w:pPr>
      <w:r w:rsidRPr="00D11885">
        <w:rPr>
          <w:b/>
          <w:u w:val="single"/>
        </w:rPr>
        <w:t xml:space="preserve"> </w:t>
      </w:r>
      <w:r w:rsidR="00F80AEC" w:rsidRPr="00D11885">
        <w:rPr>
          <w:b/>
          <w:u w:val="single"/>
        </w:rPr>
        <w:t xml:space="preserve"> </w:t>
      </w:r>
      <w:r w:rsidR="005273EE" w:rsidRPr="00D11885">
        <w:rPr>
          <w:b/>
          <w:u w:val="single"/>
        </w:rPr>
        <w:t>ΠΜΣ ΔΙΕΘΝΕΣ ΚΑΙ ΕΥΡΩΠΑΙΚΟ ΔΙΚΑΙΟ ΤΗΣ ΕΝΕΡΓΕΙΑΣ</w:t>
      </w:r>
    </w:p>
    <w:p w:rsidR="005273EE" w:rsidRPr="00D11885" w:rsidRDefault="005273EE" w:rsidP="008313A5">
      <w:pPr>
        <w:spacing w:line="360" w:lineRule="auto"/>
        <w:jc w:val="center"/>
        <w:rPr>
          <w:b/>
          <w:u w:val="single"/>
        </w:rPr>
      </w:pPr>
    </w:p>
    <w:p w:rsidR="005273EE" w:rsidRPr="00D11885" w:rsidRDefault="005273EE" w:rsidP="008313A5">
      <w:pPr>
        <w:spacing w:line="360" w:lineRule="auto"/>
        <w:jc w:val="center"/>
        <w:rPr>
          <w:b/>
          <w:u w:val="single"/>
        </w:rPr>
      </w:pPr>
      <w:r w:rsidRPr="00D11885">
        <w:rPr>
          <w:b/>
          <w:u w:val="single"/>
        </w:rPr>
        <w:t>ΠΡΟΤΕΙΝΟΜΕΝΑ ΘΕΜΑΤΑ ΔΙΠΛΩΜΑΤΙΚΩΝ ΕΡΓΑΣΙΩΝ 202</w:t>
      </w:r>
      <w:r w:rsidR="00B841F0" w:rsidRPr="00D11885">
        <w:rPr>
          <w:b/>
          <w:u w:val="single"/>
        </w:rPr>
        <w:t>5</w:t>
      </w:r>
      <w:r w:rsidR="008313A5" w:rsidRPr="00D11885">
        <w:rPr>
          <w:b/>
          <w:u w:val="single"/>
        </w:rPr>
        <w:t xml:space="preserve"> - 202</w:t>
      </w:r>
      <w:r w:rsidR="00B841F0" w:rsidRPr="00D11885">
        <w:rPr>
          <w:b/>
          <w:u w:val="single"/>
        </w:rPr>
        <w:t>6</w:t>
      </w:r>
    </w:p>
    <w:p w:rsidR="005273EE" w:rsidRPr="00D11885" w:rsidRDefault="005273EE" w:rsidP="008313A5">
      <w:pPr>
        <w:spacing w:line="360" w:lineRule="auto"/>
        <w:jc w:val="both"/>
        <w:rPr>
          <w:b/>
        </w:rPr>
      </w:pPr>
    </w:p>
    <w:p w:rsidR="00D11C2C" w:rsidRPr="00D11885" w:rsidRDefault="00D11C2C" w:rsidP="008313A5">
      <w:pPr>
        <w:spacing w:line="360" w:lineRule="auto"/>
        <w:jc w:val="both"/>
        <w:rPr>
          <w:b/>
          <w:u w:val="single"/>
        </w:rPr>
      </w:pPr>
      <w:r w:rsidRPr="00D11885">
        <w:rPr>
          <w:b/>
          <w:highlight w:val="yellow"/>
          <w:u w:val="single"/>
        </w:rPr>
        <w:t>Ι ΕΥΡΩΠΑΙΚΟ ΔΙΚΑΙΟ ΤΗΣ ΕΝΕΡΓΕΙΑΣ</w:t>
      </w:r>
    </w:p>
    <w:p w:rsidR="00063B32" w:rsidRPr="00D11885" w:rsidRDefault="00063B32" w:rsidP="00063B32">
      <w:pPr>
        <w:shd w:val="clear" w:color="auto" w:fill="FFFFFF"/>
        <w:spacing w:line="360" w:lineRule="auto"/>
        <w:jc w:val="both"/>
      </w:pPr>
      <w:r w:rsidRPr="00D11885">
        <w:t>1. Μηχανισμοί ενίσχυσης της ασφάλειας εφοδιασμού στην ΕΕ και στην Ελλάδα στον τομέα της ηλεκτρικής ενέργειας και του φυσικού αερίου</w:t>
      </w:r>
      <w:r w:rsidR="00420E85" w:rsidRPr="00D11885">
        <w:t>.</w:t>
      </w:r>
    </w:p>
    <w:p w:rsidR="00063B32" w:rsidRPr="00D11885" w:rsidRDefault="00063B32" w:rsidP="00063B32">
      <w:pPr>
        <w:shd w:val="clear" w:color="auto" w:fill="FFFFFF"/>
        <w:spacing w:line="360" w:lineRule="auto"/>
        <w:jc w:val="both"/>
      </w:pPr>
      <w:r w:rsidRPr="00D11885">
        <w:t>2. Η διαμόρφωση και η επάρκεια των μηχανισμών σχετικά με την ασφάλεια εφοδιασμοί στην ΕΕ</w:t>
      </w:r>
      <w:r w:rsidR="00420E85" w:rsidRPr="00D11885">
        <w:t>.</w:t>
      </w:r>
      <w:r w:rsidRPr="00D11885">
        <w:t xml:space="preserve"> </w:t>
      </w:r>
    </w:p>
    <w:p w:rsidR="00063B32" w:rsidRPr="00D11885" w:rsidRDefault="00063B32" w:rsidP="00063B32">
      <w:pPr>
        <w:shd w:val="clear" w:color="auto" w:fill="FFFFFF"/>
        <w:spacing w:line="360" w:lineRule="auto"/>
        <w:jc w:val="both"/>
      </w:pPr>
      <w:r w:rsidRPr="00D11885">
        <w:t>3. Μηχανισμοί προώθησης των Ανανεώσιμων Πηγών Ενέργειας στην ΕΕ και τα</w:t>
      </w:r>
      <w:r w:rsidR="00CB7199" w:rsidRPr="00D11885">
        <w:t xml:space="preserve"> </w:t>
      </w:r>
      <w:r w:rsidRPr="00D11885">
        <w:t xml:space="preserve">Κράτη-μέλη – Διαχρονική </w:t>
      </w:r>
      <w:r w:rsidR="0031472C" w:rsidRPr="00D11885">
        <w:t>αποτελεσματικότητά</w:t>
      </w:r>
      <w:r w:rsidRPr="00D11885">
        <w:t xml:space="preserve"> τους και προκλήσεις</w:t>
      </w:r>
      <w:r w:rsidR="00420E85" w:rsidRPr="00D11885">
        <w:t>.</w:t>
      </w:r>
    </w:p>
    <w:p w:rsidR="00063B32" w:rsidRPr="00D11885" w:rsidRDefault="00063B32" w:rsidP="00063B32">
      <w:pPr>
        <w:shd w:val="clear" w:color="auto" w:fill="FFFFFF"/>
        <w:spacing w:line="360" w:lineRule="auto"/>
        <w:jc w:val="both"/>
      </w:pPr>
      <w:r w:rsidRPr="00D11885">
        <w:t>4. Η δυνατότητα παρέμβασης των εθνικών αρχών στις αγορές φυσικού αερίου και ηλεκτρικής ενέργειας  αγορά φυσικού αερίου υπό το πρίσμα των εξελίξεων στις αγορές ενέργειας</w:t>
      </w:r>
      <w:r w:rsidR="00420E85" w:rsidRPr="00D11885">
        <w:t>.</w:t>
      </w:r>
    </w:p>
    <w:p w:rsidR="00063B32" w:rsidRPr="00D11885" w:rsidRDefault="00063B32" w:rsidP="00063B32">
      <w:pPr>
        <w:shd w:val="clear" w:color="auto" w:fill="FFFFFF"/>
        <w:spacing w:line="360" w:lineRule="auto"/>
        <w:jc w:val="both"/>
      </w:pPr>
      <w:r w:rsidRPr="00D11885">
        <w:t xml:space="preserve">5. Η θέση του καταναλωτή ενέργειας στην ενεργειακή αγορά – </w:t>
      </w:r>
      <w:r w:rsidR="0031472C" w:rsidRPr="00D11885">
        <w:t>Ευρωπαϊκή</w:t>
      </w:r>
      <w:r w:rsidRPr="00D11885">
        <w:t xml:space="preserve"> και</w:t>
      </w:r>
      <w:r w:rsidR="00CB7199" w:rsidRPr="00D11885">
        <w:t xml:space="preserve"> </w:t>
      </w:r>
      <w:r w:rsidR="0031472C" w:rsidRPr="00D11885">
        <w:t>Ελληνική</w:t>
      </w:r>
      <w:r w:rsidRPr="00D11885">
        <w:t xml:space="preserve"> προσέγγιση</w:t>
      </w:r>
      <w:r w:rsidR="00420E85" w:rsidRPr="00D11885">
        <w:t>.</w:t>
      </w:r>
    </w:p>
    <w:p w:rsidR="00063B32" w:rsidRPr="00D11885" w:rsidRDefault="00063B32" w:rsidP="00063B32">
      <w:pPr>
        <w:shd w:val="clear" w:color="auto" w:fill="FFFFFF"/>
        <w:spacing w:line="360" w:lineRule="auto"/>
        <w:jc w:val="both"/>
      </w:pPr>
      <w:r w:rsidRPr="00D11885">
        <w:t xml:space="preserve">6. Η προστασία του </w:t>
      </w:r>
      <w:r w:rsidR="0031472C" w:rsidRPr="00D11885">
        <w:t>περιβάλλοντος ως συνιστώσα της Ευρωπαϊκής</w:t>
      </w:r>
      <w:r w:rsidRPr="00D11885">
        <w:t xml:space="preserve"> ενεργειακής πολιτικής</w:t>
      </w:r>
      <w:r w:rsidR="00420E85" w:rsidRPr="00D11885">
        <w:t>.</w:t>
      </w:r>
    </w:p>
    <w:p w:rsidR="00063B32" w:rsidRPr="00D11885" w:rsidRDefault="00063B32" w:rsidP="00063B32">
      <w:pPr>
        <w:shd w:val="clear" w:color="auto" w:fill="FFFFFF"/>
        <w:spacing w:line="360" w:lineRule="auto"/>
        <w:jc w:val="both"/>
      </w:pPr>
      <w:r w:rsidRPr="00D11885">
        <w:t>7. Η προαγωγή της ενεργειακής αποδοτικότητας στην ΕΕ – Πρόσφατες εξελίξεις σε ευρωπαϊκό και εθνικό πλαίσιο</w:t>
      </w:r>
      <w:r w:rsidR="00420E85" w:rsidRPr="00D11885">
        <w:t>.</w:t>
      </w:r>
    </w:p>
    <w:p w:rsidR="00063B32" w:rsidRPr="00D11885" w:rsidRDefault="00063B32" w:rsidP="00063B32">
      <w:pPr>
        <w:shd w:val="clear" w:color="auto" w:fill="FFFFFF"/>
        <w:spacing w:line="360" w:lineRule="auto"/>
        <w:jc w:val="both"/>
      </w:pPr>
      <w:r w:rsidRPr="00D11885">
        <w:t>8. Η χονδρική και η λιανική αγορά ηλεκτρικής ενέργειας στην Ελλάδα – Νεότερες εξελίξεις</w:t>
      </w:r>
      <w:r w:rsidR="00420E85" w:rsidRPr="00D11885">
        <w:t>.</w:t>
      </w:r>
    </w:p>
    <w:p w:rsidR="00063B32" w:rsidRPr="00D11885" w:rsidRDefault="00063B32" w:rsidP="00063B32">
      <w:pPr>
        <w:shd w:val="clear" w:color="auto" w:fill="FFFFFF"/>
        <w:spacing w:line="360" w:lineRule="auto"/>
        <w:jc w:val="both"/>
      </w:pPr>
      <w:r w:rsidRPr="00D11885">
        <w:t>9. Μηχανισμοί προστασίας του καταναλωτή στην ελληνική αγορά ενέργειας</w:t>
      </w:r>
      <w:r w:rsidR="00420E85" w:rsidRPr="00D11885">
        <w:t>.</w:t>
      </w:r>
    </w:p>
    <w:p w:rsidR="00063B32" w:rsidRPr="00D11885" w:rsidRDefault="00063B32" w:rsidP="00063B32">
      <w:pPr>
        <w:shd w:val="clear" w:color="auto" w:fill="FFFFFF"/>
        <w:spacing w:line="360" w:lineRule="auto"/>
        <w:jc w:val="both"/>
      </w:pPr>
      <w:r w:rsidRPr="00D11885">
        <w:t>10. Η αρχή της πρόσβασης στο δίκτυο ηλεκτρικής ενέργειας και φυσικού αερίου και η συνεισφορά της στην ανταγωνιστική αγορά ενέργειας</w:t>
      </w:r>
      <w:r w:rsidR="00420E85" w:rsidRPr="00D11885">
        <w:t>.</w:t>
      </w:r>
    </w:p>
    <w:p w:rsidR="00063B32" w:rsidRPr="00D11885" w:rsidRDefault="00063B32" w:rsidP="00063B32">
      <w:pPr>
        <w:shd w:val="clear" w:color="auto" w:fill="FFFFFF"/>
        <w:spacing w:line="360" w:lineRule="auto"/>
        <w:jc w:val="both"/>
      </w:pPr>
      <w:r w:rsidRPr="00D11885">
        <w:t>11. Η ενεργειακή αλληλεγγύη και η ενεργειακή διακυβέρνηση ως θεσμικές</w:t>
      </w:r>
      <w:r w:rsidR="00CB7199" w:rsidRPr="00D11885">
        <w:t xml:space="preserve"> </w:t>
      </w:r>
      <w:r w:rsidRPr="00D11885">
        <w:t>εγγυήσεις για την εξέλιξη της ευρωπαϊκής αγοράς ενέργειας</w:t>
      </w:r>
      <w:r w:rsidR="00420E85" w:rsidRPr="00D11885">
        <w:t>.</w:t>
      </w:r>
    </w:p>
    <w:p w:rsidR="00063B32" w:rsidRPr="00D11885" w:rsidRDefault="00063B32" w:rsidP="00063B32">
      <w:pPr>
        <w:shd w:val="clear" w:color="auto" w:fill="FFFFFF"/>
        <w:spacing w:line="360" w:lineRule="auto"/>
        <w:jc w:val="both"/>
      </w:pPr>
      <w:r w:rsidRPr="00D11885">
        <w:t>12. Ο ρόλος της ΕΕ στις διεθνείς αγορές ΥΦΑ</w:t>
      </w:r>
      <w:r w:rsidR="00420E85" w:rsidRPr="00D11885">
        <w:t>.</w:t>
      </w:r>
      <w:r w:rsidRPr="00D11885">
        <w:t xml:space="preserve"> </w:t>
      </w:r>
    </w:p>
    <w:p w:rsidR="00063B32" w:rsidRPr="00D11885" w:rsidRDefault="00063B32" w:rsidP="00063B32">
      <w:pPr>
        <w:shd w:val="clear" w:color="auto" w:fill="FFFFFF"/>
        <w:spacing w:line="360" w:lineRule="auto"/>
        <w:jc w:val="both"/>
      </w:pPr>
      <w:r w:rsidRPr="00D11885">
        <w:t>13. Νομικό πλαίσιο στην ΕΕ και στην Ελλάδα της χρήσης ΥΦΑ ως εναλλακτικού</w:t>
      </w:r>
      <w:r w:rsidR="00CB7199" w:rsidRPr="00D11885">
        <w:t xml:space="preserve"> </w:t>
      </w:r>
      <w:r w:rsidRPr="00D11885">
        <w:t>καυσίμου στις μεταφορές και την παραγωγή ενέργειας</w:t>
      </w:r>
      <w:r w:rsidR="00420E85" w:rsidRPr="00D11885">
        <w:t>.</w:t>
      </w:r>
    </w:p>
    <w:p w:rsidR="00063B32" w:rsidRPr="00D11885" w:rsidRDefault="00063B32" w:rsidP="00063B32">
      <w:pPr>
        <w:shd w:val="clear" w:color="auto" w:fill="FFFFFF"/>
        <w:spacing w:line="360" w:lineRule="auto"/>
        <w:jc w:val="both"/>
      </w:pPr>
      <w:r w:rsidRPr="00D11885">
        <w:t>14</w:t>
      </w:r>
      <w:r w:rsidR="00007209" w:rsidRPr="00D11885">
        <w:t xml:space="preserve">. Οι συνέπειες του </w:t>
      </w:r>
      <w:proofErr w:type="spellStart"/>
      <w:r w:rsidR="00007209" w:rsidRPr="00D11885">
        <w:t>Ρωσ</w:t>
      </w:r>
      <w:r w:rsidRPr="00D11885">
        <w:t>οουκρανικού</w:t>
      </w:r>
      <w:proofErr w:type="spellEnd"/>
      <w:r w:rsidRPr="00D11885">
        <w:t xml:space="preserve"> πολέμου στην ενεργειακή πολιτική της ΕΕ</w:t>
      </w:r>
      <w:r w:rsidR="00420E85" w:rsidRPr="00D11885">
        <w:t>.</w:t>
      </w:r>
    </w:p>
    <w:p w:rsidR="00063B32" w:rsidRPr="00D11885" w:rsidRDefault="00063B32" w:rsidP="00063B32">
      <w:pPr>
        <w:shd w:val="clear" w:color="auto" w:fill="FFFFFF"/>
        <w:spacing w:line="360" w:lineRule="auto"/>
        <w:jc w:val="both"/>
      </w:pPr>
      <w:r w:rsidRPr="00D11885">
        <w:t>15. Το νομικό πλαίσιο των συμβάσεων προμήθειας ηλεκτρικής ενέργειας</w:t>
      </w:r>
      <w:r w:rsidR="00420E85" w:rsidRPr="00D11885">
        <w:t>.</w:t>
      </w:r>
    </w:p>
    <w:p w:rsidR="00063B32" w:rsidRPr="00D11885" w:rsidRDefault="00063B32" w:rsidP="00063B32">
      <w:pPr>
        <w:shd w:val="clear" w:color="auto" w:fill="FFFFFF"/>
        <w:spacing w:line="360" w:lineRule="auto"/>
        <w:jc w:val="both"/>
      </w:pPr>
      <w:r w:rsidRPr="00D11885">
        <w:t>16. Οι Ενεργειακές Κοινότητες – Νομικό πλαίσιο και προοπτικές ανάπτυξης</w:t>
      </w:r>
      <w:r w:rsidR="00420E85" w:rsidRPr="00D11885">
        <w:t>.</w:t>
      </w:r>
    </w:p>
    <w:p w:rsidR="00063B32" w:rsidRPr="00D11885" w:rsidRDefault="00063B32" w:rsidP="00063B32">
      <w:pPr>
        <w:shd w:val="clear" w:color="auto" w:fill="FFFFFF"/>
        <w:spacing w:line="360" w:lineRule="auto"/>
        <w:jc w:val="both"/>
      </w:pPr>
      <w:r w:rsidRPr="00D11885">
        <w:lastRenderedPageBreak/>
        <w:t>17. Χρηματιστήρια Ενέργειας και αποτελεσματικότερη λειτουργία των αγορών ενέργειας</w:t>
      </w:r>
      <w:r w:rsidR="00420E85" w:rsidRPr="00D11885">
        <w:t>.</w:t>
      </w:r>
    </w:p>
    <w:p w:rsidR="007E654A" w:rsidRPr="00D11885" w:rsidRDefault="00063B32" w:rsidP="00063B32">
      <w:pPr>
        <w:shd w:val="clear" w:color="auto" w:fill="FFFFFF"/>
        <w:spacing w:line="360" w:lineRule="auto"/>
        <w:jc w:val="both"/>
      </w:pPr>
      <w:r w:rsidRPr="00D11885">
        <w:t>18. Η ελεύθερη κυκλοφορία κεφαλαίων στην ενεργειακή πολιτική. Επιπτώσεις</w:t>
      </w:r>
      <w:r w:rsidR="00CB7199" w:rsidRPr="00D60077">
        <w:t xml:space="preserve"> </w:t>
      </w:r>
      <w:r w:rsidRPr="00D11885">
        <w:t>στις επενδύσεις ενέργειας</w:t>
      </w:r>
      <w:r w:rsidR="00420E85" w:rsidRPr="00D60077">
        <w:t>.</w:t>
      </w:r>
    </w:p>
    <w:p w:rsidR="00B841F0" w:rsidRPr="00D11885" w:rsidRDefault="00B841F0" w:rsidP="008313A5">
      <w:pPr>
        <w:shd w:val="clear" w:color="auto" w:fill="FFFFFF"/>
        <w:spacing w:line="360" w:lineRule="auto"/>
        <w:jc w:val="both"/>
        <w:rPr>
          <w:b/>
        </w:rPr>
      </w:pPr>
    </w:p>
    <w:p w:rsidR="00B841F0" w:rsidRPr="00D11885" w:rsidRDefault="00B841F0" w:rsidP="008313A5">
      <w:pPr>
        <w:shd w:val="clear" w:color="auto" w:fill="FFFFFF"/>
        <w:spacing w:line="360" w:lineRule="auto"/>
        <w:jc w:val="both"/>
        <w:rPr>
          <w:b/>
        </w:rPr>
      </w:pPr>
    </w:p>
    <w:p w:rsidR="00D11C2C" w:rsidRPr="00D11885" w:rsidRDefault="00D11C2C" w:rsidP="008313A5">
      <w:pPr>
        <w:shd w:val="clear" w:color="auto" w:fill="FFFFFF"/>
        <w:spacing w:line="360" w:lineRule="auto"/>
        <w:jc w:val="both"/>
        <w:rPr>
          <w:b/>
          <w:u w:val="single"/>
        </w:rPr>
      </w:pPr>
      <w:r w:rsidRPr="00D11885">
        <w:rPr>
          <w:b/>
          <w:highlight w:val="yellow"/>
          <w:u w:val="single"/>
        </w:rPr>
        <w:t>ΙΙ ΔΙΕΘΝΕΣ ΔΙΚΑΙΟ ΤΗΣ ΕΝΕΡΓΕΙΑΣ</w:t>
      </w:r>
      <w:r w:rsidRPr="00D11885">
        <w:rPr>
          <w:b/>
          <w:u w:val="single"/>
        </w:rPr>
        <w:t xml:space="preserve"> </w:t>
      </w:r>
    </w:p>
    <w:p w:rsidR="00D11C2C" w:rsidRPr="00D11885" w:rsidRDefault="00D11C2C" w:rsidP="00B841F0">
      <w:pPr>
        <w:pStyle w:val="a3"/>
        <w:numPr>
          <w:ilvl w:val="0"/>
          <w:numId w:val="12"/>
        </w:numPr>
        <w:spacing w:line="360" w:lineRule="auto"/>
        <w:jc w:val="both"/>
        <w:rPr>
          <w:shd w:val="clear" w:color="auto" w:fill="FFFFFF"/>
        </w:rPr>
      </w:pPr>
      <w:r w:rsidRPr="00D11885">
        <w:rPr>
          <w:shd w:val="clear" w:color="auto" w:fill="FFFFFF"/>
        </w:rPr>
        <w:t xml:space="preserve">Ο επενδυτής στις Διμερείς Συμβάσεις Επενδύσεων των ΗΑΕ και την </w:t>
      </w:r>
      <w:proofErr w:type="spellStart"/>
      <w:r w:rsidRPr="00D11885">
        <w:rPr>
          <w:shd w:val="clear" w:color="auto" w:fill="FFFFFF"/>
        </w:rPr>
        <w:t>ΣυνθΧΕ</w:t>
      </w:r>
      <w:proofErr w:type="spellEnd"/>
      <w:r w:rsidRPr="00D11885">
        <w:rPr>
          <w:shd w:val="clear" w:color="auto" w:fill="FFFFFF"/>
        </w:rPr>
        <w:t>.</w:t>
      </w:r>
    </w:p>
    <w:p w:rsidR="00D11C2C" w:rsidRPr="00D11885" w:rsidRDefault="00D11C2C" w:rsidP="00B841F0">
      <w:pPr>
        <w:pStyle w:val="a3"/>
        <w:numPr>
          <w:ilvl w:val="0"/>
          <w:numId w:val="12"/>
        </w:numPr>
        <w:spacing w:line="360" w:lineRule="auto"/>
        <w:jc w:val="both"/>
        <w:rPr>
          <w:shd w:val="clear" w:color="auto" w:fill="FFFFFF"/>
        </w:rPr>
      </w:pPr>
      <w:r w:rsidRPr="00D11885">
        <w:rPr>
          <w:shd w:val="clear" w:color="auto" w:fill="FFFFFF"/>
        </w:rPr>
        <w:t xml:space="preserve">Ο επενδυτής στις Διμερείς Συμβάσεις Επενδύσεων της Λιβύης και την </w:t>
      </w:r>
      <w:proofErr w:type="spellStart"/>
      <w:r w:rsidRPr="00D11885">
        <w:rPr>
          <w:shd w:val="clear" w:color="auto" w:fill="FFFFFF"/>
        </w:rPr>
        <w:t>ΣυνθΧΕ</w:t>
      </w:r>
      <w:proofErr w:type="spellEnd"/>
      <w:r w:rsidRPr="00D11885">
        <w:rPr>
          <w:shd w:val="clear" w:color="auto" w:fill="FFFFFF"/>
        </w:rPr>
        <w:t>.</w:t>
      </w:r>
    </w:p>
    <w:p w:rsidR="00D11C2C" w:rsidRPr="00D11885" w:rsidRDefault="00D11C2C" w:rsidP="00B841F0">
      <w:pPr>
        <w:pStyle w:val="a3"/>
        <w:numPr>
          <w:ilvl w:val="0"/>
          <w:numId w:val="12"/>
        </w:numPr>
        <w:spacing w:line="360" w:lineRule="auto"/>
        <w:jc w:val="both"/>
        <w:rPr>
          <w:shd w:val="clear" w:color="auto" w:fill="FFFFFF"/>
        </w:rPr>
      </w:pPr>
      <w:r w:rsidRPr="00D11885">
        <w:rPr>
          <w:shd w:val="clear" w:color="auto" w:fill="FFFFFF"/>
        </w:rPr>
        <w:t xml:space="preserve">Η επένδυση στις Διμερείς Συμβάσεις Επενδύσεων της Λιβύης και την </w:t>
      </w:r>
      <w:proofErr w:type="spellStart"/>
      <w:r w:rsidRPr="00D11885">
        <w:rPr>
          <w:shd w:val="clear" w:color="auto" w:fill="FFFFFF"/>
        </w:rPr>
        <w:t>ΣυνθΧΕ</w:t>
      </w:r>
      <w:proofErr w:type="spellEnd"/>
      <w:r w:rsidRPr="00D11885">
        <w:rPr>
          <w:shd w:val="clear" w:color="auto" w:fill="FFFFFF"/>
        </w:rPr>
        <w:t>.</w:t>
      </w:r>
    </w:p>
    <w:p w:rsidR="0069431A" w:rsidRPr="00D11885" w:rsidRDefault="00D11C2C" w:rsidP="00B841F0">
      <w:pPr>
        <w:pStyle w:val="a3"/>
        <w:numPr>
          <w:ilvl w:val="0"/>
          <w:numId w:val="12"/>
        </w:numPr>
        <w:spacing w:line="360" w:lineRule="auto"/>
        <w:jc w:val="both"/>
      </w:pPr>
      <w:r w:rsidRPr="00D11885">
        <w:rPr>
          <w:shd w:val="clear" w:color="auto" w:fill="FFFFFF"/>
        </w:rPr>
        <w:t xml:space="preserve">Η αρχή της ίσης και δίκαιης μεταχείρισης στην νομολογία διεθνούς διαιτησίας επενδύσεων βάσει Διμερών Συμβάσεων Επενδύσεων των ΗΑΕ και της </w:t>
      </w:r>
      <w:proofErr w:type="spellStart"/>
      <w:r w:rsidRPr="00D11885">
        <w:rPr>
          <w:shd w:val="clear" w:color="auto" w:fill="FFFFFF"/>
        </w:rPr>
        <w:t>ΣυνθΧΕ</w:t>
      </w:r>
      <w:proofErr w:type="spellEnd"/>
      <w:r w:rsidRPr="00D11885">
        <w:rPr>
          <w:shd w:val="clear" w:color="auto" w:fill="FFFFFF"/>
        </w:rPr>
        <w:t>.</w:t>
      </w:r>
      <w:r w:rsidR="0069431A" w:rsidRPr="00D11885">
        <w:rPr>
          <w:shd w:val="clear" w:color="auto" w:fill="FFFFFF"/>
        </w:rPr>
        <w:t xml:space="preserve"> </w:t>
      </w:r>
    </w:p>
    <w:p w:rsidR="0069431A" w:rsidRPr="00D11885" w:rsidRDefault="00D11C2C" w:rsidP="00B841F0">
      <w:pPr>
        <w:pStyle w:val="a3"/>
        <w:numPr>
          <w:ilvl w:val="0"/>
          <w:numId w:val="12"/>
        </w:numPr>
        <w:spacing w:line="360" w:lineRule="auto"/>
        <w:jc w:val="both"/>
      </w:pPr>
      <w:r w:rsidRPr="00D11885">
        <w:rPr>
          <w:shd w:val="clear" w:color="auto" w:fill="FFFFFF"/>
        </w:rPr>
        <w:t xml:space="preserve">Η αρχή της ίσης και δίκαιης μεταχείρισης στην νομολογία διεθνούς διαιτησίας επενδύσεων βάσει Διμερών Συμβάσεων Επενδύσεων της Λιβύης και της </w:t>
      </w:r>
      <w:proofErr w:type="spellStart"/>
      <w:r w:rsidRPr="00D11885">
        <w:rPr>
          <w:shd w:val="clear" w:color="auto" w:fill="FFFFFF"/>
        </w:rPr>
        <w:t>ΣυνθΧΕ</w:t>
      </w:r>
      <w:proofErr w:type="spellEnd"/>
      <w:r w:rsidRPr="00D11885">
        <w:rPr>
          <w:shd w:val="clear" w:color="auto" w:fill="FFFFFF"/>
        </w:rPr>
        <w:t>.</w:t>
      </w:r>
      <w:r w:rsidR="0069431A" w:rsidRPr="00D11885">
        <w:rPr>
          <w:shd w:val="clear" w:color="auto" w:fill="FFFFFF"/>
        </w:rPr>
        <w:t xml:space="preserve"> </w:t>
      </w:r>
    </w:p>
    <w:p w:rsidR="006C722B" w:rsidRPr="00D11885" w:rsidRDefault="006C722B" w:rsidP="00B841F0">
      <w:pPr>
        <w:pStyle w:val="a3"/>
        <w:numPr>
          <w:ilvl w:val="0"/>
          <w:numId w:val="12"/>
        </w:numPr>
        <w:spacing w:line="360" w:lineRule="auto"/>
        <w:jc w:val="both"/>
      </w:pPr>
      <w:r w:rsidRPr="00D11885">
        <w:t xml:space="preserve">Οι νόμιμες διατυπώσεις στην απαλλοτρίωση υπό την </w:t>
      </w:r>
      <w:proofErr w:type="spellStart"/>
      <w:r w:rsidRPr="00D11885">
        <w:t>ΣυνθΧΕ</w:t>
      </w:r>
      <w:proofErr w:type="spellEnd"/>
      <w:r w:rsidRPr="00D11885">
        <w:t xml:space="preserve">. </w:t>
      </w:r>
    </w:p>
    <w:p w:rsidR="00D818A2" w:rsidRPr="00D11885" w:rsidRDefault="00D818A2" w:rsidP="00B841F0">
      <w:pPr>
        <w:pStyle w:val="a3"/>
        <w:numPr>
          <w:ilvl w:val="0"/>
          <w:numId w:val="12"/>
        </w:numPr>
        <w:shd w:val="clear" w:color="auto" w:fill="FFFFFF"/>
        <w:spacing w:line="360" w:lineRule="auto"/>
        <w:jc w:val="both"/>
        <w:rPr>
          <w:color w:val="26282A"/>
        </w:rPr>
      </w:pPr>
      <w:r w:rsidRPr="00D11885">
        <w:rPr>
          <w:color w:val="26282A"/>
        </w:rPr>
        <w:t xml:space="preserve">Η έννοια της επένδυσης στις Διμερείς Συνθήκες Προστασίας της Ινδίας σε σύγκριση με την </w:t>
      </w:r>
      <w:proofErr w:type="spellStart"/>
      <w:r w:rsidRPr="00D11885">
        <w:rPr>
          <w:color w:val="26282A"/>
        </w:rPr>
        <w:t>ΣυνθΧΕ</w:t>
      </w:r>
      <w:proofErr w:type="spellEnd"/>
      <w:r w:rsidRPr="00D11885">
        <w:rPr>
          <w:color w:val="26282A"/>
        </w:rPr>
        <w:t>.</w:t>
      </w:r>
    </w:p>
    <w:p w:rsidR="00D818A2" w:rsidRPr="00D11885" w:rsidRDefault="00D818A2" w:rsidP="00B841F0">
      <w:pPr>
        <w:pStyle w:val="a3"/>
        <w:numPr>
          <w:ilvl w:val="0"/>
          <w:numId w:val="12"/>
        </w:numPr>
        <w:shd w:val="clear" w:color="auto" w:fill="FFFFFF"/>
        <w:spacing w:line="360" w:lineRule="auto"/>
        <w:jc w:val="both"/>
        <w:rPr>
          <w:color w:val="26282A"/>
        </w:rPr>
      </w:pPr>
      <w:r w:rsidRPr="00D11885">
        <w:rPr>
          <w:color w:val="26282A"/>
        </w:rPr>
        <w:t>Η συμβολή των Περιφερειακών Οργανισμών στο πεδίο της Ενέργειας</w:t>
      </w:r>
    </w:p>
    <w:p w:rsidR="00B841F0" w:rsidRPr="00D11885" w:rsidRDefault="00B841F0" w:rsidP="00B841F0">
      <w:pPr>
        <w:pStyle w:val="a3"/>
        <w:numPr>
          <w:ilvl w:val="0"/>
          <w:numId w:val="12"/>
        </w:numPr>
        <w:shd w:val="clear" w:color="auto" w:fill="FFFFFF"/>
        <w:spacing w:line="360" w:lineRule="auto"/>
        <w:jc w:val="both"/>
        <w:rPr>
          <w:color w:val="26282A"/>
        </w:rPr>
      </w:pPr>
      <w:r w:rsidRPr="00D11885">
        <w:rPr>
          <w:color w:val="26282A"/>
        </w:rPr>
        <w:t>Η Γνωμοδότηση του Διεθνούς Δικαστηρίου περί των Υποχρεώσεων των Κρατών σχετικά με την Κλιματική Αλλαγή.</w:t>
      </w:r>
    </w:p>
    <w:p w:rsidR="00B841F0" w:rsidRPr="00D11885" w:rsidRDefault="00B841F0" w:rsidP="00B841F0">
      <w:pPr>
        <w:pStyle w:val="a3"/>
        <w:numPr>
          <w:ilvl w:val="0"/>
          <w:numId w:val="12"/>
        </w:numPr>
        <w:shd w:val="clear" w:color="auto" w:fill="FFFFFF"/>
        <w:spacing w:line="360" w:lineRule="auto"/>
        <w:jc w:val="both"/>
        <w:rPr>
          <w:color w:val="26282A"/>
        </w:rPr>
      </w:pPr>
      <w:r w:rsidRPr="00D11885">
        <w:rPr>
          <w:color w:val="26282A"/>
        </w:rPr>
        <w:t>Η νομολογία του Ευρωπαϊκού Δικαστηρίου Δικαιωμάτων του Ανθρώπου σχετικά με την Κλιματική Αλλαγή.</w:t>
      </w:r>
    </w:p>
    <w:p w:rsidR="00B841F0" w:rsidRPr="00D11885" w:rsidRDefault="00B841F0" w:rsidP="00B841F0">
      <w:pPr>
        <w:pStyle w:val="a3"/>
        <w:numPr>
          <w:ilvl w:val="0"/>
          <w:numId w:val="12"/>
        </w:numPr>
        <w:shd w:val="clear" w:color="auto" w:fill="FFFFFF"/>
        <w:spacing w:line="360" w:lineRule="auto"/>
        <w:jc w:val="both"/>
        <w:rPr>
          <w:color w:val="26282A"/>
        </w:rPr>
      </w:pPr>
      <w:r w:rsidRPr="00D11885">
        <w:rPr>
          <w:color w:val="26282A"/>
        </w:rPr>
        <w:t>Η Διεθνής Υπηρεσία Ατομικής Ενέργειας και ο ρόλος της στη σύγχρονη διεθνή κοινότητα.</w:t>
      </w:r>
    </w:p>
    <w:p w:rsidR="00B841F0" w:rsidRPr="00D11885" w:rsidRDefault="00B841F0" w:rsidP="00B841F0">
      <w:pPr>
        <w:pStyle w:val="a3"/>
        <w:numPr>
          <w:ilvl w:val="0"/>
          <w:numId w:val="12"/>
        </w:numPr>
        <w:shd w:val="clear" w:color="auto" w:fill="FFFFFF"/>
        <w:spacing w:line="360" w:lineRule="auto"/>
        <w:jc w:val="both"/>
        <w:rPr>
          <w:color w:val="26282A"/>
        </w:rPr>
      </w:pPr>
      <w:r w:rsidRPr="00D11885">
        <w:rPr>
          <w:color w:val="26282A"/>
        </w:rPr>
        <w:t xml:space="preserve">Η απαγόρευση παράνομης απαλλοτρίωσης στις Διμερείς Συνθήκες Επενδύσεων της Λιβύης και την </w:t>
      </w:r>
      <w:proofErr w:type="spellStart"/>
      <w:r w:rsidRPr="00D11885">
        <w:rPr>
          <w:color w:val="26282A"/>
        </w:rPr>
        <w:t>ΣυνθΧΕ</w:t>
      </w:r>
      <w:proofErr w:type="spellEnd"/>
      <w:r w:rsidRPr="00D11885">
        <w:rPr>
          <w:color w:val="26282A"/>
        </w:rPr>
        <w:t>.</w:t>
      </w:r>
    </w:p>
    <w:p w:rsidR="00B841F0" w:rsidRPr="00D11885" w:rsidRDefault="00B841F0" w:rsidP="00B841F0">
      <w:pPr>
        <w:pStyle w:val="a3"/>
        <w:numPr>
          <w:ilvl w:val="0"/>
          <w:numId w:val="12"/>
        </w:numPr>
        <w:shd w:val="clear" w:color="auto" w:fill="FFFFFF"/>
        <w:spacing w:line="360" w:lineRule="auto"/>
        <w:jc w:val="both"/>
        <w:rPr>
          <w:color w:val="26282A"/>
        </w:rPr>
      </w:pPr>
      <w:r w:rsidRPr="00D11885">
        <w:rPr>
          <w:color w:val="26282A"/>
        </w:rPr>
        <w:t xml:space="preserve">Η απαγόρευση παράνομης απαλλοτρίωσης στις Διμερείς Συνθήκες Επενδύσεων των ΗΑΕ και την </w:t>
      </w:r>
      <w:proofErr w:type="spellStart"/>
      <w:r w:rsidRPr="00D11885">
        <w:rPr>
          <w:color w:val="26282A"/>
        </w:rPr>
        <w:t>ΣυνθΧΕ</w:t>
      </w:r>
      <w:proofErr w:type="spellEnd"/>
      <w:r w:rsidRPr="00D11885">
        <w:rPr>
          <w:color w:val="26282A"/>
        </w:rPr>
        <w:t>.</w:t>
      </w:r>
    </w:p>
    <w:p w:rsidR="00B841F0" w:rsidRPr="00D11885" w:rsidRDefault="00B841F0" w:rsidP="00B841F0">
      <w:pPr>
        <w:pStyle w:val="a3"/>
        <w:numPr>
          <w:ilvl w:val="0"/>
          <w:numId w:val="12"/>
        </w:numPr>
        <w:shd w:val="clear" w:color="auto" w:fill="FFFFFF"/>
        <w:spacing w:line="360" w:lineRule="auto"/>
        <w:jc w:val="both"/>
        <w:rPr>
          <w:color w:val="26282A"/>
        </w:rPr>
      </w:pPr>
      <w:r w:rsidRPr="00D11885">
        <w:rPr>
          <w:color w:val="26282A"/>
        </w:rPr>
        <w:t xml:space="preserve">Η απαγόρευση παράνομης απαλλοτρίωσης στις Διμερείς Συνθήκες Επενδύσεων της Ινδίας και την </w:t>
      </w:r>
      <w:proofErr w:type="spellStart"/>
      <w:r w:rsidRPr="00D11885">
        <w:rPr>
          <w:color w:val="26282A"/>
        </w:rPr>
        <w:t>ΣυνθΧΕ</w:t>
      </w:r>
      <w:proofErr w:type="spellEnd"/>
      <w:r w:rsidRPr="00D11885">
        <w:rPr>
          <w:color w:val="26282A"/>
        </w:rPr>
        <w:t>.</w:t>
      </w:r>
    </w:p>
    <w:p w:rsidR="00B841F0" w:rsidRPr="00D11885" w:rsidRDefault="00B841F0" w:rsidP="00B841F0">
      <w:pPr>
        <w:pStyle w:val="a3"/>
        <w:numPr>
          <w:ilvl w:val="0"/>
          <w:numId w:val="12"/>
        </w:numPr>
        <w:shd w:val="clear" w:color="auto" w:fill="FFFFFF"/>
        <w:spacing w:line="360" w:lineRule="auto"/>
        <w:jc w:val="both"/>
        <w:rPr>
          <w:color w:val="26282A"/>
        </w:rPr>
      </w:pPr>
      <w:r w:rsidRPr="00D11885">
        <w:rPr>
          <w:color w:val="26282A"/>
        </w:rPr>
        <w:t>Η ένοπλη σύρραξη στην Ουκρανία και Ενεργειακή Ασφάλεια.</w:t>
      </w:r>
    </w:p>
    <w:p w:rsidR="00B841F0" w:rsidRPr="00D11885" w:rsidRDefault="00B841F0" w:rsidP="00B841F0">
      <w:pPr>
        <w:pStyle w:val="a3"/>
        <w:numPr>
          <w:ilvl w:val="0"/>
          <w:numId w:val="12"/>
        </w:numPr>
        <w:shd w:val="clear" w:color="auto" w:fill="FFFFFF"/>
        <w:spacing w:line="360" w:lineRule="auto"/>
        <w:jc w:val="both"/>
        <w:rPr>
          <w:color w:val="26282A"/>
        </w:rPr>
      </w:pPr>
      <w:r w:rsidRPr="00D11885">
        <w:rPr>
          <w:color w:val="26282A"/>
        </w:rPr>
        <w:t>Η ένοπλη σύρραξη στη Μέση Ανατολή (Ισραήλ/ΗΠΑ - Ιράν 2026) και Ενεργειακή Ασφάλεια.</w:t>
      </w:r>
    </w:p>
    <w:p w:rsidR="00B841F0" w:rsidRPr="00D11885" w:rsidRDefault="00B841F0" w:rsidP="00B841F0">
      <w:pPr>
        <w:pStyle w:val="a3"/>
        <w:numPr>
          <w:ilvl w:val="0"/>
          <w:numId w:val="12"/>
        </w:numPr>
        <w:shd w:val="clear" w:color="auto" w:fill="FFFFFF"/>
        <w:spacing w:line="360" w:lineRule="auto"/>
        <w:jc w:val="both"/>
        <w:rPr>
          <w:color w:val="26282A"/>
        </w:rPr>
      </w:pPr>
      <w:r w:rsidRPr="00D11885">
        <w:rPr>
          <w:color w:val="26282A"/>
        </w:rPr>
        <w:lastRenderedPageBreak/>
        <w:t>Η Λειτουργία των Επίγειων Αγωγών Μεταφοράς Ενέργειας και η Λήψη Αντιμέτρων λόγω Διεθνούς Ευθύνης.</w:t>
      </w:r>
    </w:p>
    <w:p w:rsidR="00D11C2C" w:rsidRDefault="00D11C2C" w:rsidP="008313A5">
      <w:pPr>
        <w:pStyle w:val="ListParagraph1"/>
        <w:spacing w:after="0" w:line="360" w:lineRule="auto"/>
        <w:ind w:left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0077" w:rsidRPr="00D11885" w:rsidRDefault="00D60077" w:rsidP="008313A5">
      <w:pPr>
        <w:pStyle w:val="ListParagraph1"/>
        <w:spacing w:after="0" w:line="360" w:lineRule="auto"/>
        <w:ind w:left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1C2C" w:rsidRPr="00D11885" w:rsidRDefault="00D11C2C" w:rsidP="008313A5">
      <w:pPr>
        <w:pStyle w:val="ListParagraph1"/>
        <w:spacing w:after="0" w:line="360" w:lineRule="auto"/>
        <w:ind w:left="0" w:firstLine="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11885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ΙΙΙ ΔΙΕΘΝΗΣ ΕΝΕΡΓΕΙΑΚΗ ΔΙΑΙΤΗΣΙΑ</w:t>
      </w:r>
      <w:r w:rsidRPr="00D1188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7E654A" w:rsidRPr="00D11885" w:rsidRDefault="00420E85" w:rsidP="00420E85">
      <w:pPr>
        <w:pStyle w:val="ListParagraph1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1885">
        <w:rPr>
          <w:rFonts w:ascii="Times New Roman" w:hAnsi="Times New Roman" w:cs="Times New Roman"/>
          <w:bCs/>
          <w:sz w:val="24"/>
          <w:szCs w:val="24"/>
        </w:rPr>
        <w:t>Η προστασία των ξένων επενδύσεων.</w:t>
      </w:r>
    </w:p>
    <w:p w:rsidR="00420E85" w:rsidRPr="00D11885" w:rsidRDefault="00420E85" w:rsidP="00420E85">
      <w:pPr>
        <w:pStyle w:val="ListParagraph1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1885">
        <w:rPr>
          <w:rFonts w:ascii="Times New Roman" w:hAnsi="Times New Roman" w:cs="Times New Roman"/>
          <w:bCs/>
          <w:sz w:val="24"/>
          <w:szCs w:val="24"/>
        </w:rPr>
        <w:t>Ο ρόλος των πολυεθνικών επιχειρήσεων στις διεθνείς επενδυτικές αγορές.</w:t>
      </w:r>
    </w:p>
    <w:p w:rsidR="00DC757E" w:rsidRPr="00D11885" w:rsidRDefault="00DC757E" w:rsidP="00DC757E">
      <w:pPr>
        <w:pStyle w:val="ListParagraph1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1885">
        <w:rPr>
          <w:rFonts w:ascii="Times New Roman" w:hAnsi="Times New Roman" w:cs="Times New Roman"/>
          <w:bCs/>
          <w:sz w:val="24"/>
          <w:szCs w:val="24"/>
        </w:rPr>
        <w:t>Η αναγνώριση και εκτέλεση διαιτητικών αποφάσεων που εκδόθηκαν στο πλαίσιο της εφαρμογής της Συνθήκης του Χάρτη της Ενέργειας.</w:t>
      </w:r>
    </w:p>
    <w:p w:rsidR="00DC757E" w:rsidRPr="00D11885" w:rsidRDefault="00DC757E" w:rsidP="00DC757E">
      <w:pPr>
        <w:pStyle w:val="ListParagraph1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1885">
        <w:rPr>
          <w:rFonts w:ascii="Times New Roman" w:hAnsi="Times New Roman" w:cs="Times New Roman"/>
          <w:bCs/>
          <w:sz w:val="24"/>
          <w:szCs w:val="24"/>
        </w:rPr>
        <w:t>Η ενεργητική νομιμοποίηση για την προσφυγή στις διαδικασίες επίλυσης των διαφορών κατά τις διατάξεις της Συνθήκης του Χάρτη της Ενέργειας.</w:t>
      </w:r>
    </w:p>
    <w:p w:rsidR="00DC757E" w:rsidRDefault="00D60077" w:rsidP="00420E85">
      <w:pPr>
        <w:pStyle w:val="ListParagraph1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0077">
        <w:rPr>
          <w:rFonts w:ascii="Times New Roman" w:hAnsi="Times New Roman" w:cs="Times New Roman"/>
          <w:bCs/>
          <w:sz w:val="24"/>
          <w:szCs w:val="24"/>
        </w:rPr>
        <w:t>Η διαφάνεια στην επενδυτική διαιτησία</w:t>
      </w:r>
      <w:r w:rsidRPr="00D60077">
        <w:rPr>
          <w:rFonts w:ascii="Times New Roman" w:hAnsi="Times New Roman" w:cs="Times New Roman"/>
          <w:bCs/>
          <w:sz w:val="24"/>
          <w:szCs w:val="24"/>
        </w:rPr>
        <w:t>.</w:t>
      </w:r>
    </w:p>
    <w:p w:rsidR="00D60077" w:rsidRPr="00D60077" w:rsidRDefault="00D60077" w:rsidP="00420E85">
      <w:pPr>
        <w:pStyle w:val="ListParagraph1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0077">
        <w:rPr>
          <w:rFonts w:ascii="Times New Roman" w:hAnsi="Times New Roman" w:cs="Times New Roman"/>
          <w:bCs/>
          <w:sz w:val="24"/>
          <w:szCs w:val="24"/>
        </w:rPr>
        <w:t>Η πρόσφατη (2022) αναθεώρηση του κανονισμού διαιτησίας του ICSID</w:t>
      </w:r>
      <w:r w:rsidRPr="00D60077">
        <w:rPr>
          <w:rFonts w:ascii="Times New Roman" w:hAnsi="Times New Roman" w:cs="Times New Roman"/>
          <w:bCs/>
          <w:sz w:val="24"/>
          <w:szCs w:val="24"/>
        </w:rPr>
        <w:t>.</w:t>
      </w:r>
    </w:p>
    <w:p w:rsidR="00D60077" w:rsidRPr="00D60077" w:rsidRDefault="00D60077" w:rsidP="00D11885">
      <w:pPr>
        <w:pStyle w:val="ListParagraph1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841F0" w:rsidRPr="00D11885" w:rsidRDefault="00B841F0" w:rsidP="008313A5">
      <w:pPr>
        <w:pStyle w:val="ListParagraph1"/>
        <w:spacing w:after="0" w:line="360" w:lineRule="auto"/>
        <w:ind w:left="0" w:firstLine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1C2C" w:rsidRPr="00D11885" w:rsidRDefault="00D11C2C" w:rsidP="005428D9">
      <w:pPr>
        <w:pStyle w:val="ListParagraph1"/>
        <w:spacing w:after="0" w:line="360" w:lineRule="auto"/>
        <w:ind w:left="0" w:firstLine="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11885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en-US"/>
        </w:rPr>
        <w:t>IV</w:t>
      </w:r>
      <w:r w:rsidRPr="00D11885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. ΔΙΕΘΝΕΙΣ ΕΝΕΡΓΕΙΑΚΕΣ ΣΧΕΣΕΙΣ (μόνο για μη νομικούς)</w:t>
      </w:r>
    </w:p>
    <w:p w:rsidR="002D709D" w:rsidRPr="00D11885" w:rsidRDefault="002D709D" w:rsidP="002D709D">
      <w:pPr>
        <w:pStyle w:val="a3"/>
        <w:numPr>
          <w:ilvl w:val="0"/>
          <w:numId w:val="19"/>
        </w:numPr>
        <w:shd w:val="clear" w:color="auto" w:fill="FFFFFF"/>
        <w:spacing w:line="360" w:lineRule="auto"/>
        <w:ind w:left="0"/>
        <w:rPr>
          <w:color w:val="26282A"/>
        </w:rPr>
      </w:pPr>
      <w:r w:rsidRPr="00D11885">
        <w:rPr>
          <w:color w:val="26282A"/>
        </w:rPr>
        <w:t>Η γεωπολιτική διάσταση της πόντισης καλ</w:t>
      </w:r>
      <w:r w:rsidR="00D11885">
        <w:rPr>
          <w:color w:val="26282A"/>
        </w:rPr>
        <w:t xml:space="preserve">ωδίων ηλεκτρικής ενέργειας στην </w:t>
      </w:r>
      <w:r w:rsidRPr="00D11885">
        <w:rPr>
          <w:color w:val="26282A"/>
        </w:rPr>
        <w:t>Ανατολική Μεσόγειο: Η περίπτωση του καλωδίου Ελλάδας-Κύπρου-Ισραήλ</w:t>
      </w:r>
      <w:r w:rsidR="00420E85" w:rsidRPr="00D11885">
        <w:rPr>
          <w:color w:val="26282A"/>
        </w:rPr>
        <w:t>.</w:t>
      </w:r>
    </w:p>
    <w:p w:rsidR="002D709D" w:rsidRPr="00D11885" w:rsidRDefault="002D709D" w:rsidP="002D709D">
      <w:pPr>
        <w:pStyle w:val="a3"/>
        <w:numPr>
          <w:ilvl w:val="0"/>
          <w:numId w:val="19"/>
        </w:numPr>
        <w:shd w:val="clear" w:color="auto" w:fill="FFFFFF"/>
        <w:spacing w:line="360" w:lineRule="auto"/>
        <w:ind w:left="0"/>
        <w:rPr>
          <w:color w:val="26282A"/>
        </w:rPr>
      </w:pPr>
      <w:r w:rsidRPr="00D11885">
        <w:rPr>
          <w:color w:val="26282A"/>
        </w:rPr>
        <w:t>Τα κινεζικά ηλεκτρικά αυτοκίνητα κ</w:t>
      </w:r>
      <w:r w:rsidR="006118D6" w:rsidRPr="00D11885">
        <w:rPr>
          <w:color w:val="26282A"/>
        </w:rPr>
        <w:t>αι η  οικονομική απάντηση της ΕΕ</w:t>
      </w:r>
      <w:r w:rsidR="00420E85" w:rsidRPr="00D11885">
        <w:rPr>
          <w:color w:val="26282A"/>
        </w:rPr>
        <w:t>.</w:t>
      </w:r>
    </w:p>
    <w:p w:rsidR="00D11C2C" w:rsidRPr="00D11885" w:rsidRDefault="00D11C2C" w:rsidP="008313A5">
      <w:pPr>
        <w:spacing w:line="360" w:lineRule="auto"/>
        <w:contextualSpacing/>
        <w:jc w:val="both"/>
      </w:pPr>
    </w:p>
    <w:sectPr w:rsidR="00D11C2C" w:rsidRPr="00D118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01748"/>
    <w:multiLevelType w:val="hybridMultilevel"/>
    <w:tmpl w:val="BCA218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335BE"/>
    <w:multiLevelType w:val="hybridMultilevel"/>
    <w:tmpl w:val="DBB2E1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01CED"/>
    <w:multiLevelType w:val="hybridMultilevel"/>
    <w:tmpl w:val="BCAE0B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5D23"/>
    <w:multiLevelType w:val="hybridMultilevel"/>
    <w:tmpl w:val="C2885E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A6B1E"/>
    <w:multiLevelType w:val="hybridMultilevel"/>
    <w:tmpl w:val="7EF62D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DC3DD0"/>
    <w:multiLevelType w:val="hybridMultilevel"/>
    <w:tmpl w:val="6190561E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E5179"/>
    <w:multiLevelType w:val="hybridMultilevel"/>
    <w:tmpl w:val="AD6EC8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C655F"/>
    <w:multiLevelType w:val="hybridMultilevel"/>
    <w:tmpl w:val="8FBA3D5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51AD1B78"/>
    <w:multiLevelType w:val="hybridMultilevel"/>
    <w:tmpl w:val="9FF6067E"/>
    <w:lvl w:ilvl="0" w:tplc="0408000F">
      <w:start w:val="1"/>
      <w:numFmt w:val="decimal"/>
      <w:lvlText w:val="%1."/>
      <w:lvlJc w:val="left"/>
      <w:pPr>
        <w:ind w:left="643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D217DE"/>
    <w:multiLevelType w:val="hybridMultilevel"/>
    <w:tmpl w:val="9704E7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DA3673"/>
    <w:multiLevelType w:val="hybridMultilevel"/>
    <w:tmpl w:val="19D6A2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4A2161"/>
    <w:multiLevelType w:val="hybridMultilevel"/>
    <w:tmpl w:val="9FF6067E"/>
    <w:lvl w:ilvl="0" w:tplc="0408000F">
      <w:start w:val="1"/>
      <w:numFmt w:val="decimal"/>
      <w:lvlText w:val="%1."/>
      <w:lvlJc w:val="left"/>
      <w:pPr>
        <w:ind w:left="643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444B7F"/>
    <w:multiLevelType w:val="hybridMultilevel"/>
    <w:tmpl w:val="4BCEA4BE"/>
    <w:lvl w:ilvl="0" w:tplc="11148B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70884FBD"/>
    <w:multiLevelType w:val="hybridMultilevel"/>
    <w:tmpl w:val="ABB004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E22FD1"/>
    <w:multiLevelType w:val="multilevel"/>
    <w:tmpl w:val="5A362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175B70"/>
    <w:multiLevelType w:val="hybridMultilevel"/>
    <w:tmpl w:val="5B5687D2"/>
    <w:lvl w:ilvl="0" w:tplc="0408000F">
      <w:start w:val="1"/>
      <w:numFmt w:val="decimal"/>
      <w:lvlText w:val="%1."/>
      <w:lvlJc w:val="left"/>
      <w:pPr>
        <w:ind w:left="643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1150B6"/>
    <w:multiLevelType w:val="hybridMultilevel"/>
    <w:tmpl w:val="3482DBA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4514C9"/>
    <w:multiLevelType w:val="hybridMultilevel"/>
    <w:tmpl w:val="879855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731465"/>
    <w:multiLevelType w:val="hybridMultilevel"/>
    <w:tmpl w:val="564C0F0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D0740E0"/>
    <w:multiLevelType w:val="multilevel"/>
    <w:tmpl w:val="05F49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17"/>
  </w:num>
  <w:num w:numId="4">
    <w:abstractNumId w:val="14"/>
  </w:num>
  <w:num w:numId="5">
    <w:abstractNumId w:val="5"/>
  </w:num>
  <w:num w:numId="6">
    <w:abstractNumId w:val="4"/>
  </w:num>
  <w:num w:numId="7">
    <w:abstractNumId w:val="16"/>
  </w:num>
  <w:num w:numId="8">
    <w:abstractNumId w:val="0"/>
  </w:num>
  <w:num w:numId="9">
    <w:abstractNumId w:val="6"/>
  </w:num>
  <w:num w:numId="10">
    <w:abstractNumId w:val="11"/>
  </w:num>
  <w:num w:numId="11">
    <w:abstractNumId w:val="2"/>
  </w:num>
  <w:num w:numId="12">
    <w:abstractNumId w:val="15"/>
  </w:num>
  <w:num w:numId="13">
    <w:abstractNumId w:val="19"/>
  </w:num>
  <w:num w:numId="14">
    <w:abstractNumId w:val="18"/>
  </w:num>
  <w:num w:numId="15">
    <w:abstractNumId w:val="8"/>
  </w:num>
  <w:num w:numId="16">
    <w:abstractNumId w:val="9"/>
  </w:num>
  <w:num w:numId="17">
    <w:abstractNumId w:val="10"/>
  </w:num>
  <w:num w:numId="18">
    <w:abstractNumId w:val="3"/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C2C"/>
    <w:rsid w:val="00002008"/>
    <w:rsid w:val="00007209"/>
    <w:rsid w:val="00021501"/>
    <w:rsid w:val="00063B32"/>
    <w:rsid w:val="000A7C00"/>
    <w:rsid w:val="000B143A"/>
    <w:rsid w:val="000F4AD9"/>
    <w:rsid w:val="0012492A"/>
    <w:rsid w:val="001826AF"/>
    <w:rsid w:val="001B4192"/>
    <w:rsid w:val="001B6CF9"/>
    <w:rsid w:val="001C3E92"/>
    <w:rsid w:val="001C5FE9"/>
    <w:rsid w:val="00211095"/>
    <w:rsid w:val="00226D48"/>
    <w:rsid w:val="00227580"/>
    <w:rsid w:val="002277E7"/>
    <w:rsid w:val="00235CB6"/>
    <w:rsid w:val="00241231"/>
    <w:rsid w:val="0025304C"/>
    <w:rsid w:val="00275797"/>
    <w:rsid w:val="00292E0C"/>
    <w:rsid w:val="002A529B"/>
    <w:rsid w:val="002D709D"/>
    <w:rsid w:val="0031132D"/>
    <w:rsid w:val="0031472C"/>
    <w:rsid w:val="0034051D"/>
    <w:rsid w:val="00375C0B"/>
    <w:rsid w:val="003A16D7"/>
    <w:rsid w:val="003F4E59"/>
    <w:rsid w:val="00420E85"/>
    <w:rsid w:val="004462EF"/>
    <w:rsid w:val="0048581F"/>
    <w:rsid w:val="004B13E1"/>
    <w:rsid w:val="00501A71"/>
    <w:rsid w:val="005273EE"/>
    <w:rsid w:val="005428D9"/>
    <w:rsid w:val="00560BAC"/>
    <w:rsid w:val="00595319"/>
    <w:rsid w:val="005A7F51"/>
    <w:rsid w:val="005C38EB"/>
    <w:rsid w:val="005C69B0"/>
    <w:rsid w:val="005E6186"/>
    <w:rsid w:val="005F020A"/>
    <w:rsid w:val="006118D6"/>
    <w:rsid w:val="0069431A"/>
    <w:rsid w:val="006C722B"/>
    <w:rsid w:val="006F4D03"/>
    <w:rsid w:val="006F6201"/>
    <w:rsid w:val="00700A22"/>
    <w:rsid w:val="00772C2C"/>
    <w:rsid w:val="007815E3"/>
    <w:rsid w:val="007B0207"/>
    <w:rsid w:val="007C3705"/>
    <w:rsid w:val="007D4499"/>
    <w:rsid w:val="007E654A"/>
    <w:rsid w:val="008313A5"/>
    <w:rsid w:val="00861F0D"/>
    <w:rsid w:val="008945C9"/>
    <w:rsid w:val="008C4DFE"/>
    <w:rsid w:val="0099359C"/>
    <w:rsid w:val="009B00C8"/>
    <w:rsid w:val="009B14BD"/>
    <w:rsid w:val="00A34236"/>
    <w:rsid w:val="00AF3A34"/>
    <w:rsid w:val="00B841F0"/>
    <w:rsid w:val="00BA08E9"/>
    <w:rsid w:val="00C0738C"/>
    <w:rsid w:val="00C55059"/>
    <w:rsid w:val="00CB55C3"/>
    <w:rsid w:val="00CB7199"/>
    <w:rsid w:val="00CE159C"/>
    <w:rsid w:val="00D07436"/>
    <w:rsid w:val="00D11885"/>
    <w:rsid w:val="00D11C2C"/>
    <w:rsid w:val="00D60077"/>
    <w:rsid w:val="00D818A2"/>
    <w:rsid w:val="00DA073E"/>
    <w:rsid w:val="00DC757E"/>
    <w:rsid w:val="00E0068A"/>
    <w:rsid w:val="00E1352B"/>
    <w:rsid w:val="00E71814"/>
    <w:rsid w:val="00E8625F"/>
    <w:rsid w:val="00F41711"/>
    <w:rsid w:val="00F5234A"/>
    <w:rsid w:val="00F80AEC"/>
    <w:rsid w:val="00FE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051A9-9474-4694-AABC-E7D0412D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C2C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D11C2C"/>
    <w:pPr>
      <w:spacing w:before="100" w:beforeAutospacing="1" w:after="100" w:afterAutospacing="1"/>
    </w:pPr>
  </w:style>
  <w:style w:type="paragraph" w:customStyle="1" w:styleId="ListParagraph1">
    <w:name w:val="List Paragraph1"/>
    <w:basedOn w:val="a"/>
    <w:rsid w:val="00D11C2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Char"/>
    <w:uiPriority w:val="99"/>
    <w:semiHidden/>
    <w:unhideWhenUsed/>
    <w:rsid w:val="005E6186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E6186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8CE1B-F45E-4639-9D35-1FEC986B2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3</Pages>
  <Words>673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34</cp:revision>
  <cp:lastPrinted>2025-05-06T07:04:00Z</cp:lastPrinted>
  <dcterms:created xsi:type="dcterms:W3CDTF">2025-05-06T05:54:00Z</dcterms:created>
  <dcterms:modified xsi:type="dcterms:W3CDTF">2026-04-27T09:16:00Z</dcterms:modified>
</cp:coreProperties>
</file>