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Δημοκρίτειο Πανεπιστήμιο Θράκης</w:t>
      </w:r>
    </w:p>
    <w:p w:rsidR="00000000" w:rsidDel="00000000" w:rsidP="00000000" w:rsidRDefault="00000000" w:rsidRPr="00000000" w14:paraId="00000002">
      <w:pPr>
        <w:rPr/>
      </w:pPr>
      <w:r w:rsidDel="00000000" w:rsidR="00000000" w:rsidRPr="00000000">
        <w:rPr>
          <w:rtl w:val="0"/>
        </w:rPr>
        <w:t xml:space="preserve">Τμήμα Πολιτικής Επιστήμης</w:t>
      </w:r>
    </w:p>
    <w:p w:rsidR="00000000" w:rsidDel="00000000" w:rsidP="00000000" w:rsidRDefault="00000000" w:rsidRPr="00000000" w14:paraId="00000003">
      <w:pPr>
        <w:rPr/>
      </w:pPr>
      <w:r w:rsidDel="00000000" w:rsidR="00000000" w:rsidRPr="00000000">
        <w:rPr>
          <w:rtl w:val="0"/>
        </w:rPr>
        <w:t xml:space="preserve">Εαρινό Εξάμηνο 2023-2024</w:t>
      </w:r>
    </w:p>
    <w:p w:rsidR="00000000" w:rsidDel="00000000" w:rsidP="00000000" w:rsidRDefault="00000000" w:rsidRPr="00000000" w14:paraId="00000004">
      <w:pPr>
        <w:rPr/>
      </w:pPr>
      <w:r w:rsidDel="00000000" w:rsidR="00000000" w:rsidRPr="00000000">
        <w:rPr>
          <w:rtl w:val="0"/>
        </w:rPr>
        <w:t xml:space="preserve">Μάθημα- Πολιτική Επικοινωνία</w:t>
      </w:r>
    </w:p>
    <w:p w:rsidR="00000000" w:rsidDel="00000000" w:rsidP="00000000" w:rsidRDefault="00000000" w:rsidRPr="00000000" w14:paraId="00000005">
      <w:pPr>
        <w:pBdr>
          <w:left w:color="auto" w:space="0" w:sz="0" w:val="none"/>
          <w:right w:color="auto" w:space="0" w:sz="0" w:val="none"/>
        </w:pBd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Διδάσκων: Πασχαλίδης Παναγιώτης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Τρόπος Αξιολόγησης Μαθήματος </w:t>
      </w:r>
    </w:p>
    <w:p w:rsidR="00000000" w:rsidDel="00000000" w:rsidP="00000000" w:rsidRDefault="00000000" w:rsidRPr="00000000" w14:paraId="00000009">
      <w:pPr>
        <w:pBdr>
          <w:left w:color="auto" w:space="0" w:sz="0" w:val="none"/>
          <w:right w:color="auto" w:space="0" w:sz="0" w:val="none"/>
        </w:pBd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left w:color="auto" w:space="0" w:sz="0" w:val="none"/>
          <w:right w:color="auto" w:space="0" w:sz="0" w:val="none"/>
        </w:pBd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Τρόπος αξιολόγησης μαθήματος</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pBdr>
          <w:left w:color="auto" w:space="0" w:sz="0" w:val="none"/>
          <w:right w:color="auto" w:space="0" w:sz="0" w:val="none"/>
        </w:pBd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Bdr>
          <w:left w:color="auto" w:space="0" w:sz="0" w:val="none"/>
          <w:right w:color="auto" w:space="0" w:sz="0" w:val="none"/>
        </w:pBd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Θα υπάρχουν δύο τρόποι αξιολόγησης (επιλογή) </w:t>
      </w:r>
    </w:p>
    <w:p w:rsidR="00000000" w:rsidDel="00000000" w:rsidP="00000000" w:rsidRDefault="00000000" w:rsidRPr="00000000" w14:paraId="0000000D">
      <w:pPr>
        <w:pBdr>
          <w:left w:color="auto" w:space="0" w:sz="0" w:val="none"/>
          <w:right w:color="auto" w:space="0" w:sz="0" w:val="none"/>
        </w:pBd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2"/>
        </w:numPr>
        <w:spacing w:after="240" w:befor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Γραπτές εξετάσεις, η ύλη για τις οποίες θα βασίζεται κυρίως στις παραδόσεις των power point, και οι οποίες θα είναι διαθέσιμες ανά πάσα στιγμή στο eclass του μαθήματος. Ενδεχομένως, θα υπάρξει και ύλη από το σύγγραμμα, για το οποιο θα ενημερωθείτε το συντομότερο. </w:t>
      </w:r>
    </w:p>
    <w:p w:rsidR="00000000" w:rsidDel="00000000" w:rsidP="00000000" w:rsidRDefault="00000000" w:rsidRPr="00000000" w14:paraId="0000000F">
      <w:pPr>
        <w:pBdr>
          <w:left w:color="auto" w:space="0" w:sz="0" w:val="none"/>
          <w:right w:color="auto" w:space="0" w:sz="0" w:val="none"/>
        </w:pBd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ερωτήσεις των εξετάσεων θα είναι χωρισμένες σε διαφορετικές κατηγορίες (σωστό/λάθος, πολλαπλή επιλογή, αντιστοίχιση όρων σε δύο στήλες: 10 όροι συνολικά καθώς και ερωτήσεις μικρής ανάπτυξης με μέγιστο όριο τις 10 σειρές).  </w:t>
      </w:r>
    </w:p>
    <w:p w:rsidR="00000000" w:rsidDel="00000000" w:rsidP="00000000" w:rsidRDefault="00000000" w:rsidRPr="00000000" w14:paraId="00000010">
      <w:pPr>
        <w:pBdr>
          <w:left w:color="auto" w:space="0" w:sz="0" w:val="none"/>
          <w:right w:color="auto" w:space="0" w:sz="0" w:val="none"/>
        </w:pBd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Bdr>
          <w:left w:color="auto" w:space="0" w:sz="0" w:val="none"/>
          <w:right w:color="auto" w:space="0" w:sz="0" w:val="none"/>
        </w:pBd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Ή</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pBdr>
          <w:left w:color="auto" w:space="0" w:sz="0" w:val="none"/>
          <w:right w:color="auto" w:space="0" w:sz="0" w:val="none"/>
        </w:pBd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after="240" w:befor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Απαλλακτική εργασία.</w:t>
      </w:r>
    </w:p>
    <w:p w:rsidR="00000000" w:rsidDel="00000000" w:rsidP="00000000" w:rsidRDefault="00000000" w:rsidRPr="00000000" w14:paraId="00000014">
      <w:pPr>
        <w:spacing w:after="240" w:before="240" w:lineRule="auto"/>
        <w:ind w:left="72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Βασική προϋπόθεση για τη δυνατότητα </w:t>
      </w:r>
      <w:r w:rsidDel="00000000" w:rsidR="00000000" w:rsidRPr="00000000">
        <w:rPr>
          <w:rFonts w:ascii="Times New Roman" w:cs="Times New Roman" w:eastAsia="Times New Roman" w:hAnsi="Times New Roman"/>
          <w:b w:val="1"/>
          <w:sz w:val="24"/>
          <w:szCs w:val="24"/>
          <w:u w:val="single"/>
          <w:rtl w:val="0"/>
        </w:rPr>
        <w:t xml:space="preserve">απαλλακτικής</w:t>
      </w:r>
      <w:r w:rsidDel="00000000" w:rsidR="00000000" w:rsidRPr="00000000">
        <w:rPr>
          <w:rFonts w:ascii="Times New Roman" w:cs="Times New Roman" w:eastAsia="Times New Roman" w:hAnsi="Times New Roman"/>
          <w:b w:val="1"/>
          <w:sz w:val="24"/>
          <w:szCs w:val="24"/>
          <w:u w:val="single"/>
          <w:rtl w:val="0"/>
        </w:rPr>
        <w:t xml:space="preserve"> είναι η συμπλήρωση 8 παρουσιών στο μάθημα</w:t>
      </w:r>
    </w:p>
    <w:p w:rsidR="00000000" w:rsidDel="00000000" w:rsidP="00000000" w:rsidRDefault="00000000" w:rsidRPr="00000000" w14:paraId="00000015">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Όσες και όσοι επιλέξουν την απαλλακτική εργασία δεν εξετάζονται γραπτώς. Η εργασία πρέπει να περιέχει από 2.500 μέχρι 3.000 λέξεις. (γραμματοσειρά σε μέγεθος 12, διάστιχο 1,5, διάστημα πριν και μετά 0). Θα πρέπει να υποβληθεί σε έντυπη ή ηλεκτρονική μορφή κατά την περίοδο των εξετάσεων του Ιουνίου (ενδεικτικά </w:t>
      </w:r>
      <w:r w:rsidDel="00000000" w:rsidR="00000000" w:rsidRPr="00000000">
        <w:rPr>
          <w:rFonts w:ascii="Times New Roman" w:cs="Times New Roman" w:eastAsia="Times New Roman" w:hAnsi="Times New Roman"/>
          <w:sz w:val="24"/>
          <w:szCs w:val="24"/>
          <w:rtl w:val="0"/>
        </w:rPr>
        <w:t xml:space="preserve">μέσα</w:t>
      </w:r>
      <w:r w:rsidDel="00000000" w:rsidR="00000000" w:rsidRPr="00000000">
        <w:rPr>
          <w:rFonts w:ascii="Times New Roman" w:cs="Times New Roman" w:eastAsia="Times New Roman" w:hAnsi="Times New Roman"/>
          <w:sz w:val="24"/>
          <w:szCs w:val="24"/>
          <w:rtl w:val="0"/>
        </w:rPr>
        <w:t xml:space="preserve"> με τέλη Ιουνίου 2024) και σε κάθε περίπτωση όχι μετά τη διεξαγωγή των γραπτών εξετάσεων του μαθήματος.  Υπάρχει η δυνατότητα ατομικής και ομαδικής (μέχρι 2 άτομα). Στην περίπτωση της ομαδικής εργασίας το όριο των λέξεων θα είναι λίγο μεγαλύτερο, δηλαδή 4.000 με 4500 λέξεις. </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προαιρετικές ασκήσεις που υπάρχουν στην ηλεκτρονική τάξη του μαθήματος συμμετέχουν και αυτές στον τελικό βαθμό. Μπορείτε να τις </w:t>
      </w:r>
      <w:r w:rsidDel="00000000" w:rsidR="00000000" w:rsidRPr="00000000">
        <w:rPr>
          <w:rFonts w:ascii="Times New Roman" w:cs="Times New Roman" w:eastAsia="Times New Roman" w:hAnsi="Times New Roman"/>
          <w:sz w:val="24"/>
          <w:szCs w:val="24"/>
          <w:rtl w:val="0"/>
        </w:rPr>
        <w:t xml:space="preserve">πραγματοποιήσετε</w:t>
      </w:r>
      <w:r w:rsidDel="00000000" w:rsidR="00000000" w:rsidRPr="00000000">
        <w:rPr>
          <w:rFonts w:ascii="Times New Roman" w:cs="Times New Roman" w:eastAsia="Times New Roman" w:hAnsi="Times New Roman"/>
          <w:sz w:val="24"/>
          <w:szCs w:val="24"/>
          <w:rtl w:val="0"/>
        </w:rPr>
        <w:t xml:space="preserve"> όποτε θέλετε και να τις παραδώσετε προς το τέλος της εξεταστικής. Τις προαιρετικές ασκήσεις μπορείτε να τις </w:t>
      </w:r>
      <w:r w:rsidDel="00000000" w:rsidR="00000000" w:rsidRPr="00000000">
        <w:rPr>
          <w:rFonts w:ascii="Times New Roman" w:cs="Times New Roman" w:eastAsia="Times New Roman" w:hAnsi="Times New Roman"/>
          <w:sz w:val="24"/>
          <w:szCs w:val="24"/>
          <w:rtl w:val="0"/>
        </w:rPr>
        <w:t xml:space="preserve">πραγματοποιήσετε</w:t>
      </w:r>
      <w:r w:rsidDel="00000000" w:rsidR="00000000" w:rsidRPr="00000000">
        <w:rPr>
          <w:rFonts w:ascii="Times New Roman" w:cs="Times New Roman" w:eastAsia="Times New Roman" w:hAnsi="Times New Roman"/>
          <w:sz w:val="24"/>
          <w:szCs w:val="24"/>
          <w:rtl w:val="0"/>
        </w:rPr>
        <w:t xml:space="preserve"> είτε εξεταστείτε με γραπτή εξέταση είτε βαθμολογηθείτε με απαλλακτική εργασία. </w:t>
      </w:r>
    </w:p>
    <w:p w:rsidR="00000000" w:rsidDel="00000000" w:rsidP="00000000" w:rsidRDefault="00000000" w:rsidRPr="00000000" w14:paraId="00000017">
      <w:pPr>
        <w:pBdr>
          <w:left w:color="auto" w:space="0" w:sz="0" w:val="none"/>
          <w:right w:color="auto" w:space="0" w:sz="0" w:val="none"/>
        </w:pBd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pBdr>
          <w:left w:color="auto" w:space="0" w:sz="0" w:val="none"/>
          <w:right w:color="auto" w:space="0" w:sz="0" w:val="none"/>
        </w:pBd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Προτεινόμενα θέματα για απαλλακτικές εργασίες:  </w:t>
      </w:r>
    </w:p>
    <w:p w:rsidR="00000000" w:rsidDel="00000000" w:rsidP="00000000" w:rsidRDefault="00000000" w:rsidRPr="00000000" w14:paraId="00000019">
      <w:pPr>
        <w:pBdr>
          <w:left w:color="auto" w:space="0" w:sz="0" w:val="none"/>
          <w:right w:color="auto" w:space="0" w:sz="0" w:val="none"/>
        </w:pBd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Υπάρχουν βασικά 3 κατηγορίες προτεινόμενων θεμάτων.</w:t>
      </w:r>
    </w:p>
    <w:p w:rsidR="00000000" w:rsidDel="00000000" w:rsidP="00000000" w:rsidRDefault="00000000" w:rsidRPr="00000000" w14:paraId="0000001A">
      <w:pPr>
        <w:numPr>
          <w:ilvl w:val="0"/>
          <w:numId w:val="3"/>
        </w:numPr>
        <w:spacing w:after="240" w:befor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Ανάλυση επικοινωνιακής πολιτικής και στρατηγικής προσωπικοτήτων ή φορέων και θεσμών (π.χ. κόμματα, οργανισμοί, οργανώσεις). </w:t>
      </w:r>
    </w:p>
    <w:p w:rsidR="00000000" w:rsidDel="00000000" w:rsidP="00000000" w:rsidRDefault="00000000" w:rsidRPr="00000000" w14:paraId="0000001B">
      <w:pPr>
        <w:spacing w:after="240" w:befor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Σε αυτή τη περίπτωση το ενδιαφέρον είναι να παρουσιάσετε και να αναλύσετε παραδείγματα επιτυχημένης ή και όχι τόσο πετυχημένης πολιτικής επικοινωνίας (π.χ. προεκλογική καμπάνια, αποτελέσματα εκλογών, διαγγέλματα, δημοψηφίσματα, αλλαγή της κοινής γνώμης μετά από μια καμπάνια ή επικοινωνιακή στρατηγική). </w:t>
      </w:r>
    </w:p>
    <w:p w:rsidR="00000000" w:rsidDel="00000000" w:rsidP="00000000" w:rsidRDefault="00000000" w:rsidRPr="00000000" w14:paraId="0000001C">
      <w:pPr>
        <w:spacing w:after="240" w:befor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Ή έμφαση εδώ είναι στην πλευρά της πολιτικής. Μπορείτε να επικεντρωθείτε στα εργαλεία και τις έννοιες του framing (ερμηνευτική πλαισίωση) αλλά και του spinning (επικοινωνιακή διαχείριση, </w:t>
      </w:r>
      <w:r w:rsidDel="00000000" w:rsidR="00000000" w:rsidRPr="00000000">
        <w:rPr>
          <w:rFonts w:ascii="Times New Roman" w:cs="Times New Roman" w:eastAsia="Times New Roman" w:hAnsi="Times New Roman"/>
          <w:b w:val="1"/>
          <w:sz w:val="24"/>
          <w:szCs w:val="24"/>
          <w:rtl w:val="0"/>
        </w:rPr>
        <w:t xml:space="preserve">αντιστροφή</w:t>
      </w:r>
      <w:r w:rsidDel="00000000" w:rsidR="00000000" w:rsidRPr="00000000">
        <w:rPr>
          <w:rFonts w:ascii="Times New Roman" w:cs="Times New Roman" w:eastAsia="Times New Roman" w:hAnsi="Times New Roman"/>
          <w:b w:val="1"/>
          <w:sz w:val="24"/>
          <w:szCs w:val="24"/>
          <w:rtl w:val="0"/>
        </w:rPr>
        <w:t xml:space="preserve"> κλίματος), Για να επιλέξετε, πρέπει να σκεφτείτε ποια περίπτωση σας ενδιαφέρει. </w:t>
      </w:r>
    </w:p>
    <w:p w:rsidR="00000000" w:rsidDel="00000000" w:rsidP="00000000" w:rsidRDefault="00000000" w:rsidRPr="00000000" w14:paraId="0000001D">
      <w:pPr>
        <w:spacing w:after="240" w:befor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numPr>
          <w:ilvl w:val="0"/>
          <w:numId w:val="3"/>
        </w:numPr>
        <w:spacing w:after="240" w:befor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Ανάλυση του τρόπου παρουσίασης της πολιτικής από τα ΜΜΕ. </w:t>
      </w:r>
    </w:p>
    <w:p w:rsidR="00000000" w:rsidDel="00000000" w:rsidP="00000000" w:rsidRDefault="00000000" w:rsidRPr="00000000" w14:paraId="0000001F">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Σε αυτή την περίπτωση μπορείτε να επιλέξετε δύο μέσα (π.χ. ενημερωτικούς ιστότοπους διαφορετικού πολιτικού προσανατολισμού και να ασχοληθείτε με τον τρόπο με τον οποιο παρουσιάζουν κόμματα ή πρόσωπα που ανήκουν στον αντίστοιχο αλλά και στον διαφορετικό πολιτικό προσανατολισμό. </w:t>
      </w:r>
    </w:p>
    <w:p w:rsidR="00000000" w:rsidDel="00000000" w:rsidP="00000000" w:rsidRDefault="00000000" w:rsidRPr="00000000" w14:paraId="00000020">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Η έμφαση εδώ είναι στην πλευρά των ΜΜΕ. Μπορείτε να επικεντρωθείτε στα εργαλεία και τις έννοιες του framing (ερμηνευτική πλαισίωση), του priming (έμφαση, προτεραιοποίηση των κριτηρίων αξιολόγησης των πολιτικών) αλλά ακόμα και του agenda setting (δηλαδή πως τα ΜΜΕ ιεραρχούν διαφορετικά στην θεματολογία τους τα κόμματα ή τις προσωπικότητες διαφορετικού προσανατολισμού) </w:t>
      </w:r>
    </w:p>
    <w:p w:rsidR="00000000" w:rsidDel="00000000" w:rsidP="00000000" w:rsidRDefault="00000000" w:rsidRPr="00000000" w14:paraId="00000021">
      <w:pPr>
        <w:spacing w:after="240" w:befor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numPr>
          <w:ilvl w:val="0"/>
          <w:numId w:val="3"/>
        </w:numPr>
        <w:spacing w:after="240" w:befor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Βελτίωση της πολιτικής επικοινωνίας ενός προσώπου ή φορέα (κόμμα/ οργανισμός, οργάνωση) </w:t>
      </w:r>
    </w:p>
    <w:p w:rsidR="00000000" w:rsidDel="00000000" w:rsidP="00000000" w:rsidRDefault="00000000" w:rsidRPr="00000000" w14:paraId="00000023">
      <w:pPr>
        <w:spacing w:after="240" w:befor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Σε αυτή την περίπτωση βάζετε τον εαυτό σας στη θέση του συμβούλου επικοινωνίας/ πολιτικού μάρκετινγκ ή του αναλυτή και μπορείτε να σκεφτείτε μια περίπτωση όπου πιστεύετε πως υπάρχουν περιθώρια βελτίωσης. Αυτό ισχύει ιδιαίτερα για περιπτώσεις όπου δεν υπάρχει αποτελεσματική επικοινωνιακή πολιτική (π.χ. κόμματα αντιπολίτευσης, οργανισμοί ή οργανώσεις που έχουν υποστεί ζημιές από τη διαχείριση μιας κρίσης) </w:t>
      </w:r>
    </w:p>
    <w:p w:rsidR="00000000" w:rsidDel="00000000" w:rsidP="00000000" w:rsidRDefault="00000000" w:rsidRPr="00000000" w14:paraId="00000024">
      <w:pPr>
        <w:spacing w:after="240" w:befor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Εδώ η έμφαση είναι στη διαμόρφωση στρατηγικής. Τα εργαλεία με τα οποία μπορείτε να δουλέψετε είναι το framing, το priming και το spinning (ένα από τα τρία). Και φυσικά η swot analysis.</w:t>
      </w:r>
    </w:p>
    <w:p w:rsidR="00000000" w:rsidDel="00000000" w:rsidP="00000000" w:rsidRDefault="00000000" w:rsidRPr="00000000" w14:paraId="00000025">
      <w:pPr>
        <w:spacing w:after="240" w:befor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Bdr>
          <w:left w:color="auto" w:space="0" w:sz="0" w:val="none"/>
          <w:right w:color="auto" w:space="0" w:sz="0" w:val="none"/>
        </w:pBdr>
        <w:spacing w:after="240" w:before="240" w:lineRule="auto"/>
        <w:ind w:left="108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Τα παραπάνω θέματα είναι ενδεικτικά. Η διαμόρφωση της τελικής επιλογής μπορεί να γίνει μετά από συνεργασία με το διδάσκοντα. Το ίδιο ισχύει και για άλλα ζητήματα (δομή εργασίας, βιβλιογραφία και πηγές). Επίσης, μπορεί να προταθεί και θέμα που δεν υπάρχει σε αυτή τη λίστα.  </w:t>
      </w:r>
      <w:r w:rsidDel="00000000" w:rsidR="00000000" w:rsidRPr="00000000">
        <w:rPr>
          <w:rtl w:val="0"/>
        </w:rPr>
      </w:r>
    </w:p>
    <w:p w:rsidR="00000000" w:rsidDel="00000000" w:rsidP="00000000" w:rsidRDefault="00000000" w:rsidRPr="00000000" w14:paraId="00000027">
      <w:pPr>
        <w:pBdr>
          <w:left w:color="auto" w:space="0" w:sz="0" w:val="none"/>
          <w:right w:color="auto" w:space="0" w:sz="0" w:val="none"/>
        </w:pBdr>
        <w:spacing w:after="240" w:before="240" w:lineRule="auto"/>
        <w:ind w:left="108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Bdr>
          <w:left w:color="auto" w:space="0" w:sz="0" w:val="none"/>
          <w:right w:color="auto" w:space="0" w:sz="0" w:val="none"/>
        </w:pBdr>
        <w:spacing w:after="240" w:befor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29">
            <w:pPr>
              <w:pBdr>
                <w:left w:color="auto" w:space="0" w:sz="0" w:val="none"/>
                <w:right w:color="auto" w:space="0" w:sz="0" w:val="none"/>
              </w:pBd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Ως προς τη δομή σας προτείνω την εξής (ενδεικτικά) </w:t>
            </w:r>
          </w:p>
          <w:p w:rsidR="00000000" w:rsidDel="00000000" w:rsidP="00000000" w:rsidRDefault="00000000" w:rsidRPr="00000000" w14:paraId="0000002A">
            <w:pPr>
              <w:numPr>
                <w:ilvl w:val="0"/>
                <w:numId w:val="4"/>
              </w:numPr>
              <w:pBdr>
                <w:left w:color="auto" w:space="0" w:sz="0" w:val="none"/>
                <w:right w:color="auto" w:space="0" w:sz="0" w:val="none"/>
              </w:pBdr>
              <w:spacing w:after="0" w:afterAutospacing="0" w:befor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Εισαγωγή (θέμα) </w:t>
            </w:r>
          </w:p>
          <w:p w:rsidR="00000000" w:rsidDel="00000000" w:rsidP="00000000" w:rsidRDefault="00000000" w:rsidRPr="00000000" w14:paraId="0000002B">
            <w:pPr>
              <w:numPr>
                <w:ilvl w:val="0"/>
                <w:numId w:val="4"/>
              </w:numPr>
              <w:pBdr>
                <w:left w:color="auto" w:space="0" w:sz="0" w:val="none"/>
                <w:right w:color="auto" w:space="0" w:sz="0" w:val="none"/>
              </w:pBdr>
              <w:spacing w:after="0" w:afterAutospacing="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Θεωρία (ορισμοί εννοιών, φαινομένου) και περιγραφή της μελέτης περίπτωσης (case study) </w:t>
            </w:r>
          </w:p>
          <w:p w:rsidR="00000000" w:rsidDel="00000000" w:rsidP="00000000" w:rsidRDefault="00000000" w:rsidRPr="00000000" w14:paraId="0000002C">
            <w:pPr>
              <w:numPr>
                <w:ilvl w:val="0"/>
                <w:numId w:val="4"/>
              </w:numPr>
              <w:pBdr>
                <w:left w:color="auto" w:space="0" w:sz="0" w:val="none"/>
                <w:right w:color="auto" w:space="0" w:sz="0" w:val="none"/>
              </w:pBdr>
              <w:spacing w:after="0" w:afterAutospacing="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Ανάλυση (δεδομένα, επεξεργασία, μέθοδος και ανάλυση: π.χ. συλλογή άρθρων ΜΜΕ, ομιλιών ενός προσώπου, ανακοινώσεις ενός κόμματος) </w:t>
            </w:r>
          </w:p>
          <w:p w:rsidR="00000000" w:rsidDel="00000000" w:rsidP="00000000" w:rsidRDefault="00000000" w:rsidRPr="00000000" w14:paraId="0000002D">
            <w:pPr>
              <w:numPr>
                <w:ilvl w:val="0"/>
                <w:numId w:val="4"/>
              </w:numPr>
              <w:pBdr>
                <w:left w:color="auto" w:space="0" w:sz="0" w:val="none"/>
                <w:right w:color="auto" w:space="0" w:sz="0" w:val="none"/>
              </w:pBdr>
              <w:spacing w:after="0" w:afterAutospacing="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Παρουσίαση αποτελεσμάτων</w:t>
            </w:r>
          </w:p>
          <w:p w:rsidR="00000000" w:rsidDel="00000000" w:rsidP="00000000" w:rsidRDefault="00000000" w:rsidRPr="00000000" w14:paraId="0000002E">
            <w:pPr>
              <w:numPr>
                <w:ilvl w:val="0"/>
                <w:numId w:val="4"/>
              </w:numPr>
              <w:pBdr>
                <w:left w:color="auto" w:space="0" w:sz="0" w:val="none"/>
                <w:right w:color="auto" w:space="0" w:sz="0" w:val="none"/>
              </w:pBdr>
              <w:spacing w:after="0" w:afterAutospacing="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Συμπέρασμα</w:t>
            </w:r>
          </w:p>
          <w:p w:rsidR="00000000" w:rsidDel="00000000" w:rsidP="00000000" w:rsidRDefault="00000000" w:rsidRPr="00000000" w14:paraId="0000002F">
            <w:pPr>
              <w:numPr>
                <w:ilvl w:val="0"/>
                <w:numId w:val="4"/>
              </w:numPr>
              <w:pBdr>
                <w:left w:color="auto" w:space="0" w:sz="0" w:val="none"/>
                <w:right w:color="auto" w:space="0" w:sz="0" w:val="none"/>
              </w:pBdr>
              <w:spacing w:after="24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Πηγές</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31">
      <w:pPr>
        <w:pBdr>
          <w:left w:color="auto" w:space="0" w:sz="0" w:val="none"/>
          <w:right w:color="auto" w:space="0" w:sz="0" w:val="none"/>
        </w:pBdr>
        <w:spacing w:after="240" w:befor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pBdr>
          <w:left w:color="auto" w:space="0" w:sz="0" w:val="none"/>
          <w:right w:color="auto" w:space="0" w:sz="0" w:val="none"/>
        </w:pBdr>
        <w:spacing w:after="240" w:befor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pBdr>
          <w:left w:color="auto" w:space="0" w:sz="0" w:val="none"/>
          <w:right w:color="auto" w:space="0" w:sz="0" w:val="none"/>
        </w:pBdr>
        <w:spacing w:after="240" w:befor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