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6F48" w14:textId="77777777" w:rsidR="007B046E" w:rsidRDefault="00FC66F3">
      <w:pPr>
        <w:spacing w:after="95"/>
        <w:ind w:left="283" w:firstLine="0"/>
        <w:jc w:val="left"/>
      </w:pPr>
      <w:r>
        <w:t xml:space="preserve"> </w:t>
      </w:r>
    </w:p>
    <w:p w14:paraId="19F12095" w14:textId="77777777" w:rsidR="007B046E" w:rsidRDefault="00FC66F3">
      <w:pPr>
        <w:ind w:left="278"/>
      </w:pPr>
      <w:r>
        <w:t xml:space="preserve">ΤΟΜΕΑΣ ΙΔΙΩΤΙΚΟΥ ΔΙΚΑΙΟΥ </w:t>
      </w:r>
    </w:p>
    <w:p w14:paraId="527BBEAF" w14:textId="77777777" w:rsidR="007B046E" w:rsidRDefault="00FC66F3">
      <w:pPr>
        <w:ind w:left="278"/>
      </w:pPr>
      <w:r>
        <w:t xml:space="preserve">ΑΣΚΗΣΕΙΣ ΕΜΒΑΘΥΝΣΕΩΣ ΙΔΙΩΤΙΚΟΥ ΔΙΚΑΙΟΥ </w:t>
      </w:r>
    </w:p>
    <w:p w14:paraId="2404FAE6" w14:textId="47F3653F" w:rsidR="007B046E" w:rsidRPr="0027578A" w:rsidRDefault="0027578A" w:rsidP="0027578A">
      <w:pPr>
        <w:spacing w:after="92"/>
        <w:ind w:left="283" w:firstLine="0"/>
        <w:jc w:val="center"/>
        <w:rPr>
          <w:b/>
          <w:bCs/>
          <w:smallCaps/>
          <w:sz w:val="32"/>
          <w:szCs w:val="32"/>
          <w:lang w:val="el-GR"/>
        </w:rPr>
      </w:pPr>
      <w:proofErr w:type="spellStart"/>
      <w:r w:rsidRPr="0027578A">
        <w:rPr>
          <w:b/>
          <w:bCs/>
          <w:smallCaps/>
          <w:sz w:val="32"/>
          <w:szCs w:val="32"/>
          <w:lang w:val="el-GR"/>
        </w:rPr>
        <w:t>Θεματικη</w:t>
      </w:r>
      <w:proofErr w:type="spellEnd"/>
      <w:r w:rsidRPr="0027578A">
        <w:rPr>
          <w:b/>
          <w:bCs/>
          <w:smallCaps/>
          <w:sz w:val="32"/>
          <w:szCs w:val="32"/>
          <w:lang w:val="el-GR"/>
        </w:rPr>
        <w:t xml:space="preserve"> </w:t>
      </w:r>
      <w:proofErr w:type="spellStart"/>
      <w:r w:rsidRPr="0027578A">
        <w:rPr>
          <w:b/>
          <w:bCs/>
          <w:smallCaps/>
          <w:sz w:val="32"/>
          <w:szCs w:val="32"/>
          <w:lang w:val="el-GR"/>
        </w:rPr>
        <w:t>αδικαιολογητου</w:t>
      </w:r>
      <w:proofErr w:type="spellEnd"/>
      <w:r w:rsidRPr="0027578A">
        <w:rPr>
          <w:b/>
          <w:bCs/>
          <w:smallCaps/>
          <w:sz w:val="32"/>
          <w:szCs w:val="32"/>
          <w:lang w:val="el-GR"/>
        </w:rPr>
        <w:t xml:space="preserve"> </w:t>
      </w:r>
      <w:proofErr w:type="spellStart"/>
      <w:r w:rsidRPr="0027578A">
        <w:rPr>
          <w:b/>
          <w:bCs/>
          <w:smallCaps/>
          <w:sz w:val="32"/>
          <w:szCs w:val="32"/>
          <w:lang w:val="el-GR"/>
        </w:rPr>
        <w:t>πλουτισμου</w:t>
      </w:r>
      <w:proofErr w:type="spellEnd"/>
    </w:p>
    <w:p w14:paraId="4B47E77C" w14:textId="77777777" w:rsidR="0027578A" w:rsidRPr="0027578A" w:rsidRDefault="0027578A">
      <w:pPr>
        <w:spacing w:after="92"/>
        <w:ind w:left="283" w:firstLine="0"/>
        <w:jc w:val="left"/>
        <w:rPr>
          <w:lang w:val="el-GR"/>
        </w:rPr>
      </w:pPr>
    </w:p>
    <w:p w14:paraId="6E1A1827" w14:textId="6B123118" w:rsidR="007B046E" w:rsidRDefault="00FC66F3">
      <w:pPr>
        <w:ind w:left="278"/>
        <w:rPr>
          <w:lang w:val="el-GR"/>
        </w:rPr>
      </w:pPr>
      <w:r>
        <w:t xml:space="preserve">Καθηγητής Λ. Κιτσαράς </w:t>
      </w:r>
    </w:p>
    <w:p w14:paraId="5CCD5B4C" w14:textId="3B853882" w:rsidR="001F560A" w:rsidRPr="001F560A" w:rsidRDefault="001F560A">
      <w:pPr>
        <w:ind w:left="278"/>
        <w:rPr>
          <w:lang w:val="el-GR"/>
        </w:rPr>
      </w:pPr>
      <w:r>
        <w:rPr>
          <w:lang w:val="el-GR"/>
        </w:rPr>
        <w:t>Αν. Καθηγητής Δ. Μπαμπινιώτης</w:t>
      </w:r>
    </w:p>
    <w:p w14:paraId="71A509DD" w14:textId="463FAF47" w:rsidR="00FC66F3" w:rsidRPr="001F560A" w:rsidRDefault="00FC66F3" w:rsidP="001F560A">
      <w:pPr>
        <w:ind w:left="278"/>
        <w:rPr>
          <w:lang w:val="el-GR"/>
        </w:rPr>
      </w:pPr>
      <w:r>
        <w:rPr>
          <w:lang w:val="el-GR"/>
        </w:rPr>
        <w:t>Επ. καθηγητ</w:t>
      </w:r>
      <w:r w:rsidR="001F560A">
        <w:rPr>
          <w:lang w:val="el-GR"/>
        </w:rPr>
        <w:t>έ</w:t>
      </w:r>
      <w:r>
        <w:rPr>
          <w:lang w:val="el-GR"/>
        </w:rPr>
        <w:t>ς Ι. Μα</w:t>
      </w:r>
      <w:r w:rsidR="00161A33">
        <w:rPr>
          <w:lang w:val="el-GR"/>
        </w:rPr>
        <w:t>ν</w:t>
      </w:r>
      <w:r>
        <w:rPr>
          <w:lang w:val="el-GR"/>
        </w:rPr>
        <w:t>τζουράνης</w:t>
      </w:r>
      <w:r w:rsidR="001F560A">
        <w:rPr>
          <w:lang w:val="el-GR"/>
        </w:rPr>
        <w:t xml:space="preserve">. Α. </w:t>
      </w:r>
      <w:proofErr w:type="spellStart"/>
      <w:r w:rsidR="001F560A">
        <w:rPr>
          <w:lang w:val="el-GR"/>
        </w:rPr>
        <w:t>Ξυνοπούλου</w:t>
      </w:r>
      <w:proofErr w:type="spellEnd"/>
      <w:r w:rsidR="001F560A">
        <w:rPr>
          <w:lang w:val="el-GR"/>
        </w:rPr>
        <w:t>, Δ. Μηχιώτης</w:t>
      </w:r>
    </w:p>
    <w:p w14:paraId="43BC306F" w14:textId="08D3F927" w:rsidR="007B046E" w:rsidRDefault="007B046E" w:rsidP="00AF4857">
      <w:pPr>
        <w:ind w:left="0" w:firstLine="283"/>
        <w:rPr>
          <w:sz w:val="36"/>
          <w:lang w:val="el-GR"/>
        </w:rPr>
      </w:pPr>
    </w:p>
    <w:p w14:paraId="3C9494C8" w14:textId="77777777" w:rsidR="0027578A" w:rsidRDefault="0027578A" w:rsidP="0027578A">
      <w:pPr>
        <w:pStyle w:val="a3"/>
        <w:numPr>
          <w:ilvl w:val="0"/>
          <w:numId w:val="3"/>
        </w:numPr>
        <w:jc w:val="both"/>
        <w:rPr>
          <w:rFonts w:ascii="Cambria Math" w:hAnsi="Cambria Math"/>
          <w:sz w:val="25"/>
          <w:szCs w:val="25"/>
        </w:rPr>
      </w:pPr>
      <w:r w:rsidRPr="00B45DED">
        <w:rPr>
          <w:rFonts w:ascii="Cambria Math" w:hAnsi="Cambria Math"/>
          <w:sz w:val="25"/>
          <w:szCs w:val="25"/>
        </w:rPr>
        <w:t xml:space="preserve">Η εταιρεία Χ δανείστηκε το 2007 από  την τράπεζα Τ 15.000.000 ευρώ </w:t>
      </w:r>
      <w:r>
        <w:rPr>
          <w:rFonts w:ascii="Cambria Math" w:hAnsi="Cambria Math"/>
          <w:sz w:val="25"/>
          <w:szCs w:val="25"/>
        </w:rPr>
        <w:t>για αγορά μετοχών καθ’ υπόδειξη της Τ. Μ</w:t>
      </w:r>
      <w:r w:rsidRPr="00B45DED">
        <w:rPr>
          <w:rFonts w:ascii="Cambria Math" w:hAnsi="Cambria Math"/>
          <w:sz w:val="25"/>
          <w:szCs w:val="25"/>
        </w:rPr>
        <w:t xml:space="preserve">ε το ποσό του δανείου η Χ απέκτησε μετοχές που εκπροσωπούν το 1% του μετοχικού κεφαλαίου της εταιρείας Ε, η οποία ανήκει στον όμιλο  επιχειρήσεων της Τ. Σύμφωνα όμως με σχετικό κανόνα δικαίου (Πράξη Διοικητή </w:t>
      </w:r>
      <w:proofErr w:type="spellStart"/>
      <w:r w:rsidRPr="00B45DED">
        <w:rPr>
          <w:rFonts w:ascii="Cambria Math" w:hAnsi="Cambria Math"/>
          <w:sz w:val="25"/>
          <w:szCs w:val="25"/>
        </w:rPr>
        <w:t>ΤτΕ</w:t>
      </w:r>
      <w:proofErr w:type="spellEnd"/>
      <w:r w:rsidRPr="00B45DED">
        <w:rPr>
          <w:rFonts w:ascii="Cambria Math" w:hAnsi="Cambria Math"/>
          <w:sz w:val="25"/>
          <w:szCs w:val="25"/>
        </w:rPr>
        <w:t xml:space="preserve">) η δανειοδότηση </w:t>
      </w:r>
      <w:proofErr w:type="spellStart"/>
      <w:r w:rsidRPr="00B45DED">
        <w:rPr>
          <w:rFonts w:ascii="Cambria Math" w:hAnsi="Cambria Math"/>
          <w:sz w:val="25"/>
          <w:szCs w:val="25"/>
        </w:rPr>
        <w:t>ν.π</w:t>
      </w:r>
      <w:proofErr w:type="spellEnd"/>
      <w:r w:rsidRPr="00B45DED">
        <w:rPr>
          <w:rFonts w:ascii="Cambria Math" w:hAnsi="Cambria Math"/>
          <w:sz w:val="25"/>
          <w:szCs w:val="25"/>
        </w:rPr>
        <w:t xml:space="preserve">. και επιχειρηματιών για την αγορά μετοχών επιτρέπεται με τον όρο ότι οι μετοχές που θα αποκτηθούν </w:t>
      </w:r>
      <w:proofErr w:type="spellStart"/>
      <w:r>
        <w:rPr>
          <w:rFonts w:ascii="Cambria Math" w:hAnsi="Cambria Math"/>
          <w:sz w:val="25"/>
          <w:szCs w:val="25"/>
        </w:rPr>
        <w:t>παριστούν</w:t>
      </w:r>
      <w:proofErr w:type="spellEnd"/>
      <w:r>
        <w:rPr>
          <w:rFonts w:ascii="Cambria Math" w:hAnsi="Cambria Math"/>
          <w:sz w:val="25"/>
          <w:szCs w:val="25"/>
        </w:rPr>
        <w:t xml:space="preserve"> τουλάχιστον το 5% του μετοχικού κεφαλαίου της εταιρείας (της οποία μετοχές αποκτώνται). Στη συγκεκριμένη περίπτωση, όταν το 2013 η Τ κατήγγειλε το δάνειο προς την Χ, γιατί αυτό δεν εξυπηρετείτο, η Χ ισχυρίσθηκε ότι η πίστωση εξ αρχής έπασχε, επειδή δεν πληρούνταν οι όροι του νόμου, και αρνήθηκε ότι οφείλει να επιστρέψει το δάνειο στην Τ. Η Τ από τη μεριά της ισχυρίσθηκε ότι, σε κάθε περίπτωση, η Χ της οφείλει το ποσό που έλαβε κατά τις διατάξεις για τον αδικαιολόγητο πλουτισμό. </w:t>
      </w:r>
    </w:p>
    <w:p w14:paraId="2B1C9B71" w14:textId="77777777" w:rsidR="0027578A" w:rsidRDefault="0027578A" w:rsidP="0027578A">
      <w:pPr>
        <w:rPr>
          <w:rFonts w:ascii="Cambria Math" w:hAnsi="Cambria Math"/>
          <w:sz w:val="25"/>
          <w:szCs w:val="25"/>
        </w:rPr>
      </w:pPr>
    </w:p>
    <w:p w14:paraId="03840F47"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Ο Α, χονδρέμπορος ζώων, πώλησε στην εταιρεία επεξεργασίας κρέατος Ε 100 μοσχάρια, τα  οποία ήταν κλοπιμαία, γεγονός όμως που η Ε αγνοούσε χωρίς υπαιτιότητα. Από τα ζώα αυτά η Ε παρασκεύασε συσκευασμένες ποσότητες μοσχαρίσιου κρέατος, το οποίο διέθεσε στην αγορά. Όταν ο ιδιοκτήτης των ζώων Ι πληροφορήθηκε από τις έρευνες της αστυνομίας τι απέγιναν τα ζώα του, άσκησε κατά της Ε αγωγή με βάση τον αδικαιολόγητο πλουτισμό. Εκείνη αντέτεινε, μεταξύ άλλων, ότι δεν κατέστη πλουσιότερη, διότι κατέβαλε αντάλλαγμα. Θα </w:t>
      </w:r>
      <w:proofErr w:type="spellStart"/>
      <w:r>
        <w:rPr>
          <w:rFonts w:ascii="Cambria Math" w:hAnsi="Cambria Math"/>
          <w:sz w:val="25"/>
          <w:szCs w:val="25"/>
        </w:rPr>
        <w:t>ευσταθήσει</w:t>
      </w:r>
      <w:proofErr w:type="spellEnd"/>
      <w:r>
        <w:rPr>
          <w:rFonts w:ascii="Cambria Math" w:hAnsi="Cambria Math"/>
          <w:sz w:val="25"/>
          <w:szCs w:val="25"/>
        </w:rPr>
        <w:t xml:space="preserve"> η αγωγή του Ι; </w:t>
      </w:r>
    </w:p>
    <w:p w14:paraId="7C4AC65E" w14:textId="77777777" w:rsidR="0027578A" w:rsidRDefault="0027578A" w:rsidP="0027578A">
      <w:pPr>
        <w:ind w:left="360"/>
        <w:rPr>
          <w:rFonts w:ascii="Cambria Math" w:hAnsi="Cambria Math"/>
          <w:highlight w:val="yellow"/>
        </w:rPr>
      </w:pPr>
    </w:p>
    <w:p w14:paraId="000FCBE4" w14:textId="77777777" w:rsidR="0027578A" w:rsidRPr="0027578A" w:rsidRDefault="0027578A" w:rsidP="0027578A">
      <w:pPr>
        <w:ind w:left="0" w:firstLine="0"/>
        <w:rPr>
          <w:rFonts w:ascii="Cambria Math" w:hAnsi="Cambria Math"/>
          <w:sz w:val="25"/>
          <w:szCs w:val="25"/>
          <w:lang w:val="el-GR"/>
        </w:rPr>
      </w:pPr>
    </w:p>
    <w:p w14:paraId="790D8C24"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Ο 12χρονος Α, στον οποίον ο φίλος του Β είχε </w:t>
      </w:r>
      <w:proofErr w:type="spellStart"/>
      <w:r>
        <w:rPr>
          <w:rFonts w:ascii="Cambria Math" w:hAnsi="Cambria Math"/>
          <w:sz w:val="25"/>
          <w:szCs w:val="25"/>
        </w:rPr>
        <w:t>χρησιδανίσει</w:t>
      </w:r>
      <w:proofErr w:type="spellEnd"/>
      <w:r>
        <w:rPr>
          <w:rFonts w:ascii="Cambria Math" w:hAnsi="Cambria Math"/>
          <w:sz w:val="25"/>
          <w:szCs w:val="25"/>
        </w:rPr>
        <w:t xml:space="preserve"> μία σπάνια συλλογή μουσικών δίσκων, την εκποίησε στο </w:t>
      </w:r>
      <w:r>
        <w:rPr>
          <w:rFonts w:ascii="Cambria Math" w:hAnsi="Cambria Math"/>
          <w:sz w:val="25"/>
          <w:szCs w:val="25"/>
          <w:lang w:val="en-US"/>
        </w:rPr>
        <w:t>e</w:t>
      </w:r>
      <w:r w:rsidRPr="009D415C">
        <w:rPr>
          <w:rFonts w:ascii="Cambria Math" w:hAnsi="Cambria Math"/>
          <w:sz w:val="25"/>
          <w:szCs w:val="25"/>
        </w:rPr>
        <w:t>-</w:t>
      </w:r>
      <w:r>
        <w:rPr>
          <w:rFonts w:ascii="Cambria Math" w:hAnsi="Cambria Math"/>
          <w:sz w:val="25"/>
          <w:szCs w:val="25"/>
          <w:lang w:val="en-US"/>
        </w:rPr>
        <w:t>bay</w:t>
      </w:r>
      <w:r>
        <w:rPr>
          <w:rFonts w:ascii="Cambria Math" w:hAnsi="Cambria Math"/>
          <w:sz w:val="25"/>
          <w:szCs w:val="25"/>
        </w:rPr>
        <w:t xml:space="preserve">, όπου την απέκτησε ο Γ, έναντι 500 ευρώ. Όταν ο Β έμαθε τα σχετικά, ρώτησε τον </w:t>
      </w:r>
      <w:r>
        <w:rPr>
          <w:rFonts w:ascii="Cambria Math" w:hAnsi="Cambria Math"/>
          <w:sz w:val="25"/>
          <w:szCs w:val="25"/>
        </w:rPr>
        <w:lastRenderedPageBreak/>
        <w:t xml:space="preserve">δικηγόρο του κατά </w:t>
      </w:r>
      <w:proofErr w:type="spellStart"/>
      <w:r>
        <w:rPr>
          <w:rFonts w:ascii="Cambria Math" w:hAnsi="Cambria Math"/>
          <w:sz w:val="25"/>
          <w:szCs w:val="25"/>
        </w:rPr>
        <w:t>ποίου</w:t>
      </w:r>
      <w:proofErr w:type="spellEnd"/>
      <w:r>
        <w:rPr>
          <w:rFonts w:ascii="Cambria Math" w:hAnsi="Cambria Math"/>
          <w:sz w:val="25"/>
          <w:szCs w:val="25"/>
        </w:rPr>
        <w:t xml:space="preserve"> μπορεί να στραφεί με την αγωγή του αδικαιολόγητου πλουτισμού.</w:t>
      </w:r>
    </w:p>
    <w:p w14:paraId="17C648A1" w14:textId="77777777" w:rsidR="0027578A" w:rsidRDefault="0027578A" w:rsidP="0027578A">
      <w:pPr>
        <w:pStyle w:val="a3"/>
        <w:jc w:val="both"/>
        <w:rPr>
          <w:rFonts w:ascii="Cambria Math" w:hAnsi="Cambria Math"/>
          <w:sz w:val="25"/>
          <w:szCs w:val="25"/>
        </w:rPr>
      </w:pPr>
      <w:r>
        <w:rPr>
          <w:rFonts w:ascii="Cambria Math" w:hAnsi="Cambria Math"/>
          <w:sz w:val="25"/>
          <w:szCs w:val="25"/>
        </w:rPr>
        <w:t xml:space="preserve">Παραλλαγή: Ο ενήλικος Α μεταβίβασε δικό του κινητό στον Β, χωρίς να συμφωνήσουν τον λόγο της μεταβίβασης. </w:t>
      </w:r>
    </w:p>
    <w:p w14:paraId="3F9359BF" w14:textId="77777777" w:rsidR="0027578A" w:rsidRPr="00035F21" w:rsidRDefault="0027578A" w:rsidP="0027578A">
      <w:pPr>
        <w:ind w:left="360"/>
        <w:rPr>
          <w:rFonts w:ascii="Cambria Math" w:hAnsi="Cambria Math"/>
        </w:rPr>
      </w:pPr>
    </w:p>
    <w:p w14:paraId="12E6D605" w14:textId="77777777" w:rsidR="0027578A" w:rsidRDefault="0027578A" w:rsidP="0027578A">
      <w:pPr>
        <w:rPr>
          <w:rFonts w:ascii="Cambria Math" w:hAnsi="Cambria Math"/>
          <w:sz w:val="25"/>
          <w:szCs w:val="25"/>
        </w:rPr>
      </w:pPr>
    </w:p>
    <w:p w14:paraId="3CAD4B4B"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lang w:val="en-US"/>
        </w:rPr>
        <w:t>O</w:t>
      </w:r>
      <w:r>
        <w:rPr>
          <w:rFonts w:ascii="Cambria Math" w:hAnsi="Cambria Math"/>
          <w:sz w:val="25"/>
          <w:szCs w:val="25"/>
        </w:rPr>
        <w:t xml:space="preserve"> Α έχει καταλάβει και αξιοποιεί επί είκοσι χρόνια ένα ακίνητο, που ανήκει κατά κυριότητα στον Δήμο Καλαμαριάς. Τον Μάιο του 2016 ο Β τον αποβάλει αυθαίρετα από το ακίνητο αυτό. Τον Ιούνιο του 2017 ο Α ασκεί εναντίον του αγωγή απόδοσης του ακινήτου με βάση τον αδικαιολόγητο πλουτισμό. Είναι βάσιμη η αγωγή; Υπάρχει ζήτημα παραγραφής της;</w:t>
      </w:r>
    </w:p>
    <w:p w14:paraId="5F2E4F0A" w14:textId="77777777" w:rsidR="0027578A" w:rsidRDefault="0027578A" w:rsidP="0027578A">
      <w:pPr>
        <w:pStyle w:val="a3"/>
        <w:rPr>
          <w:rFonts w:ascii="Cambria Math" w:hAnsi="Cambria Math"/>
          <w:sz w:val="25"/>
          <w:szCs w:val="25"/>
          <w:highlight w:val="yellow"/>
        </w:rPr>
      </w:pPr>
    </w:p>
    <w:p w14:paraId="7153806C" w14:textId="77777777" w:rsidR="0027578A" w:rsidRPr="00ED1FD1" w:rsidRDefault="0027578A" w:rsidP="0027578A">
      <w:pPr>
        <w:pStyle w:val="a3"/>
        <w:rPr>
          <w:rFonts w:ascii="Cambria Math" w:hAnsi="Cambria Math"/>
          <w:sz w:val="25"/>
          <w:szCs w:val="25"/>
        </w:rPr>
      </w:pPr>
    </w:p>
    <w:p w14:paraId="2B72A6F9"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Ο 12χρονος Α, στον οποίον ο φίλος του Β εμπιστεύθηκε να του φυλάξει το ποδήλατό του, εμφανίζεται στον Γ ως κύριος και του το δωρίζει. Έχει κάποιος από τους Α και Β αξίωση αδικαιολόγητου πλουτισμού κατά του Γ;</w:t>
      </w:r>
    </w:p>
    <w:p w14:paraId="687C5C1F" w14:textId="77777777" w:rsidR="0027578A" w:rsidRDefault="0027578A" w:rsidP="0027578A">
      <w:pPr>
        <w:pStyle w:val="a3"/>
        <w:jc w:val="both"/>
        <w:rPr>
          <w:rFonts w:ascii="Cambria Math" w:hAnsi="Cambria Math"/>
          <w:sz w:val="25"/>
          <w:szCs w:val="25"/>
        </w:rPr>
      </w:pPr>
    </w:p>
    <w:p w14:paraId="05E6FDE9"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Ο Α μεταβιβάζει στον Β ένα ακίνητο που δεν του ανήκει. Η πώληση καταρτίζεται με πίστωση του τιμήματος και παρακράτηση της κυριότητας (ΑΚ 532). Επειδή ο Β δεν είναι συνεπής με την πληρωμή των δόσεων, ο Α υπαναχωρεί από την πώληση και, προσφερόμενος να αποδώσει στον Β το μέχρι τότε εισπραχθέν τίμημα, ζητεί από την πλευρά του να του αποδώσει ο Β το ακίνητο ως αδικαιολόγητο πλουτισμό. Ο τελευταίος όμως αρνείται, ισχυριζόμενος ότι αυτό δεν υπήρξε ποτέ στοιχείο της περιουσίας του Α και ότι, επομένως, ο πλουτισμός του δεν έγινε από την περιουσία ή επί ζημία του. Τί θα αποφασίσει το δικαστήριο;</w:t>
      </w:r>
    </w:p>
    <w:p w14:paraId="159CC601" w14:textId="77777777" w:rsidR="0027578A" w:rsidRPr="0027578A" w:rsidRDefault="0027578A" w:rsidP="0027578A">
      <w:pPr>
        <w:ind w:left="0" w:firstLine="0"/>
        <w:rPr>
          <w:rFonts w:ascii="Cambria Math" w:hAnsi="Cambria Math"/>
          <w:sz w:val="25"/>
          <w:szCs w:val="25"/>
          <w:lang w:val="el-GR"/>
        </w:rPr>
      </w:pPr>
    </w:p>
    <w:p w14:paraId="3A64DE9E" w14:textId="77777777" w:rsidR="0027578A" w:rsidRDefault="0027578A" w:rsidP="0027578A">
      <w:pPr>
        <w:pStyle w:val="a3"/>
        <w:numPr>
          <w:ilvl w:val="0"/>
          <w:numId w:val="3"/>
        </w:numPr>
        <w:jc w:val="both"/>
        <w:rPr>
          <w:rFonts w:ascii="Cambria Math" w:hAnsi="Cambria Math"/>
          <w:sz w:val="24"/>
          <w:szCs w:val="24"/>
        </w:rPr>
      </w:pPr>
      <w:r w:rsidRPr="00035F21">
        <w:rPr>
          <w:rFonts w:ascii="Cambria Math" w:hAnsi="Cambria Math"/>
          <w:sz w:val="24"/>
          <w:szCs w:val="24"/>
        </w:rPr>
        <w:t xml:space="preserve">Οι Α και Β, κύριοι και νομείς, αντιστοίχως, δύο αγροτεμαχίων, τα </w:t>
      </w:r>
      <w:proofErr w:type="spellStart"/>
      <w:r w:rsidRPr="00035F21">
        <w:rPr>
          <w:rFonts w:ascii="Cambria Math" w:hAnsi="Cambria Math"/>
          <w:sz w:val="24"/>
          <w:szCs w:val="24"/>
        </w:rPr>
        <w:t>ανταλλάσουν</w:t>
      </w:r>
      <w:proofErr w:type="spellEnd"/>
      <w:r w:rsidRPr="00035F21">
        <w:rPr>
          <w:rFonts w:ascii="Cambria Math" w:hAnsi="Cambria Math"/>
          <w:sz w:val="24"/>
          <w:szCs w:val="24"/>
        </w:rPr>
        <w:t xml:space="preserve"> και μεταβιβάζουν μεταξύ τους ατύπως. Μετά την παρέλευση πέντε ετών ο Α ασκεί κατά του Β αγωγή</w:t>
      </w:r>
      <w:r>
        <w:rPr>
          <w:rFonts w:ascii="Cambria Math" w:hAnsi="Cambria Math"/>
          <w:sz w:val="24"/>
          <w:szCs w:val="24"/>
        </w:rPr>
        <w:t xml:space="preserve"> αδικαιολόγητου πλουτισμού</w:t>
      </w:r>
      <w:r w:rsidRPr="00035F21">
        <w:rPr>
          <w:rFonts w:ascii="Cambria Math" w:hAnsi="Cambria Math"/>
          <w:sz w:val="24"/>
          <w:szCs w:val="24"/>
        </w:rPr>
        <w:t>, με την οποία ζητά να αναγνωρισθεί η ακυρότητα της μεταξύ τους άτυπης σύμβασης και η εντεύθεν κυριότητά του στο ακίνητο που ατύπως μεταβίβασε στον Β, το οποίο και ζητά να του αποδοθεί</w:t>
      </w:r>
      <w:r>
        <w:rPr>
          <w:rFonts w:ascii="Cambria Math" w:hAnsi="Cambria Math"/>
          <w:sz w:val="24"/>
          <w:szCs w:val="24"/>
        </w:rPr>
        <w:t xml:space="preserve"> με την </w:t>
      </w:r>
      <w:r>
        <w:rPr>
          <w:rFonts w:ascii="Cambria Math" w:hAnsi="Cambria Math"/>
          <w:sz w:val="24"/>
          <w:szCs w:val="24"/>
          <w:lang w:val="en-US"/>
        </w:rPr>
        <w:t>condictio</w:t>
      </w:r>
      <w:r>
        <w:rPr>
          <w:rFonts w:ascii="Cambria Math" w:hAnsi="Cambria Math"/>
          <w:sz w:val="24"/>
          <w:szCs w:val="24"/>
        </w:rPr>
        <w:t xml:space="preserve"> </w:t>
      </w:r>
      <w:proofErr w:type="spellStart"/>
      <w:r>
        <w:rPr>
          <w:rFonts w:ascii="Cambria Math" w:hAnsi="Cambria Math"/>
          <w:sz w:val="24"/>
          <w:szCs w:val="24"/>
          <w:lang w:val="en-US"/>
        </w:rPr>
        <w:t>possessionis</w:t>
      </w:r>
      <w:proofErr w:type="spellEnd"/>
      <w:r w:rsidRPr="00035F21">
        <w:rPr>
          <w:rFonts w:ascii="Cambria Math" w:hAnsi="Cambria Math"/>
          <w:sz w:val="24"/>
          <w:szCs w:val="24"/>
        </w:rPr>
        <w:t xml:space="preserve">. Ο Β όμως του αντιτείνει ότι, εν πάση </w:t>
      </w:r>
      <w:proofErr w:type="spellStart"/>
      <w:r w:rsidRPr="00035F21">
        <w:rPr>
          <w:rFonts w:ascii="Cambria Math" w:hAnsi="Cambria Math"/>
          <w:sz w:val="24"/>
          <w:szCs w:val="24"/>
        </w:rPr>
        <w:t>περιπτώσει</w:t>
      </w:r>
      <w:proofErr w:type="spellEnd"/>
      <w:r w:rsidRPr="00035F21">
        <w:rPr>
          <w:rFonts w:ascii="Cambria Math" w:hAnsi="Cambria Math"/>
          <w:sz w:val="24"/>
          <w:szCs w:val="24"/>
        </w:rPr>
        <w:t xml:space="preserve">, η σύμβαση για τη μεταβίβαση της νομής είναι αφενός μεν αφηρημένη, αφετέρου δε άτυπη και ως εκ τούτου εγκύρως απέκτησε τη νομή ανεξαρτήτως της ακυρότητας της σύμβασης για τη μεταβίβαση της κυριότητας. </w:t>
      </w:r>
      <w:r>
        <w:rPr>
          <w:rFonts w:ascii="Cambria Math" w:hAnsi="Cambria Math"/>
          <w:sz w:val="24"/>
          <w:szCs w:val="24"/>
        </w:rPr>
        <w:t>Τι θα αποφασίσει το δικαστήριο;</w:t>
      </w:r>
    </w:p>
    <w:p w14:paraId="4ABD2D76" w14:textId="77777777" w:rsidR="0027578A" w:rsidRDefault="0027578A" w:rsidP="0027578A">
      <w:pPr>
        <w:pStyle w:val="a3"/>
        <w:jc w:val="both"/>
        <w:rPr>
          <w:rFonts w:ascii="Cambria Math" w:hAnsi="Cambria Math"/>
          <w:sz w:val="24"/>
          <w:szCs w:val="24"/>
        </w:rPr>
      </w:pPr>
    </w:p>
    <w:p w14:paraId="6B195870" w14:textId="77777777" w:rsidR="0027578A" w:rsidRDefault="0027578A" w:rsidP="0027578A">
      <w:pPr>
        <w:pStyle w:val="a3"/>
        <w:jc w:val="both"/>
        <w:rPr>
          <w:rFonts w:ascii="Cambria Math" w:hAnsi="Cambria Math"/>
          <w:sz w:val="24"/>
          <w:szCs w:val="24"/>
        </w:rPr>
      </w:pPr>
    </w:p>
    <w:p w14:paraId="4662B666" w14:textId="77777777" w:rsidR="0027578A" w:rsidRPr="00474681" w:rsidRDefault="0027578A" w:rsidP="0027578A">
      <w:pPr>
        <w:pStyle w:val="a3"/>
        <w:numPr>
          <w:ilvl w:val="0"/>
          <w:numId w:val="3"/>
        </w:numPr>
        <w:jc w:val="both"/>
        <w:rPr>
          <w:rFonts w:ascii="Cambria Math" w:hAnsi="Cambria Math"/>
          <w:sz w:val="25"/>
          <w:szCs w:val="25"/>
        </w:rPr>
      </w:pPr>
      <w:r>
        <w:rPr>
          <w:rFonts w:ascii="Cambria Math" w:hAnsi="Cambria Math"/>
          <w:sz w:val="24"/>
          <w:szCs w:val="24"/>
        </w:rPr>
        <w:t>Ο μη κύριος νομέας Α δωρίζει και μεταβιβάζει στον καλόπιστο Β ένα ακίνητο. Ο Β παραμένει στη νομή του ακινήτου για 11 χρόνια. Όταν ο κύριος του ακινήτου Γ πληροφορείται τα σχετικά, ρωτά τον δικηγόρο του αν μπορεί να ασκήσει κατά του Β αγωγή αδικαιολόγητου πλουτισμού.</w:t>
      </w:r>
    </w:p>
    <w:p w14:paraId="53FC4EAE" w14:textId="77777777" w:rsidR="0027578A" w:rsidRDefault="0027578A" w:rsidP="0027578A">
      <w:pPr>
        <w:rPr>
          <w:rFonts w:ascii="Cambria Math" w:hAnsi="Cambria Math"/>
          <w:sz w:val="25"/>
          <w:szCs w:val="25"/>
        </w:rPr>
      </w:pPr>
    </w:p>
    <w:p w14:paraId="11634B12"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Ο Α, κύριος ενός ακινήτου, αποβάλλεται από τον Β, ο οποίος, αφού παραμένει στη νομή για δύο έτη, </w:t>
      </w:r>
      <w:proofErr w:type="spellStart"/>
      <w:r>
        <w:rPr>
          <w:rFonts w:ascii="Cambria Math" w:hAnsi="Cambria Math"/>
          <w:sz w:val="25"/>
          <w:szCs w:val="25"/>
        </w:rPr>
        <w:t>πωλεί</w:t>
      </w:r>
      <w:proofErr w:type="spellEnd"/>
      <w:r>
        <w:rPr>
          <w:rFonts w:ascii="Cambria Math" w:hAnsi="Cambria Math"/>
          <w:sz w:val="25"/>
          <w:szCs w:val="25"/>
        </w:rPr>
        <w:t xml:space="preserve"> και μεταβιβάζει το ακίνητο στον Γ έναντι 150.000 ευρώ. Μετά τη συμπλήρωση των προϋποθέσεων της τακτικής χρησικτησίας στο πρόσωπο του Γ ο Α αναρωτιέται αν μπορεί να ασκήσει την αξίωση αδικαιολόγητου πλουτισμού και κατά </w:t>
      </w:r>
      <w:proofErr w:type="spellStart"/>
      <w:r>
        <w:rPr>
          <w:rFonts w:ascii="Cambria Math" w:hAnsi="Cambria Math"/>
          <w:sz w:val="25"/>
          <w:szCs w:val="25"/>
        </w:rPr>
        <w:t>ποίου</w:t>
      </w:r>
      <w:proofErr w:type="spellEnd"/>
      <w:r>
        <w:rPr>
          <w:rFonts w:ascii="Cambria Math" w:hAnsi="Cambria Math"/>
          <w:sz w:val="25"/>
          <w:szCs w:val="25"/>
        </w:rPr>
        <w:t>.</w:t>
      </w:r>
    </w:p>
    <w:p w14:paraId="2943AD8F" w14:textId="77777777" w:rsidR="0027578A" w:rsidRPr="008848C5" w:rsidRDefault="0027578A" w:rsidP="0027578A">
      <w:pPr>
        <w:pStyle w:val="a3"/>
        <w:rPr>
          <w:rFonts w:ascii="Cambria Math" w:hAnsi="Cambria Math"/>
          <w:sz w:val="25"/>
          <w:szCs w:val="25"/>
        </w:rPr>
      </w:pPr>
    </w:p>
    <w:p w14:paraId="24660D62"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Ο Α νέμεται αυθαιρέτως για δέκα χρόνια (από το 2006) ένα ακίνητο, που ανήκει στον Β. Μάλιστα,  έχει παραχωρήσει και υποθήκη σ’ αυτό στην τράπεζα Τ για την εξασφάλιση δανείου του. Επειδή δε δεν εξοφλεί εγκαίρως το δάνειο, η τράπεζα κατάσχει το ακίνητο και το εκπλειστηριάζει το 2017. Υπερθεματιστής αναδεικνύεται ο Γ. Έχει ο Β αξίωση αδικαιολόγητου πλουτισμού και κατά </w:t>
      </w:r>
      <w:proofErr w:type="spellStart"/>
      <w:r>
        <w:rPr>
          <w:rFonts w:ascii="Cambria Math" w:hAnsi="Cambria Math"/>
          <w:sz w:val="25"/>
          <w:szCs w:val="25"/>
        </w:rPr>
        <w:t>ποίου</w:t>
      </w:r>
      <w:proofErr w:type="spellEnd"/>
      <w:r>
        <w:rPr>
          <w:rFonts w:ascii="Cambria Math" w:hAnsi="Cambria Math"/>
          <w:sz w:val="25"/>
          <w:szCs w:val="25"/>
        </w:rPr>
        <w:t>;</w:t>
      </w:r>
    </w:p>
    <w:p w14:paraId="7A1C388C" w14:textId="77777777" w:rsidR="0027578A" w:rsidRPr="00C84E21" w:rsidRDefault="0027578A" w:rsidP="0027578A">
      <w:pPr>
        <w:pStyle w:val="a3"/>
        <w:rPr>
          <w:rFonts w:ascii="Cambria Math" w:hAnsi="Cambria Math"/>
          <w:sz w:val="25"/>
          <w:szCs w:val="25"/>
        </w:rPr>
      </w:pPr>
    </w:p>
    <w:p w14:paraId="27B24BCC"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 Ο νομέας κληρονομίας Α επιτυγχάνει την έκδοση </w:t>
      </w:r>
      <w:proofErr w:type="spellStart"/>
      <w:r>
        <w:rPr>
          <w:rFonts w:ascii="Cambria Math" w:hAnsi="Cambria Math"/>
          <w:sz w:val="25"/>
          <w:szCs w:val="25"/>
        </w:rPr>
        <w:t>κληρονομητηρίου</w:t>
      </w:r>
      <w:proofErr w:type="spellEnd"/>
      <w:r>
        <w:rPr>
          <w:rFonts w:ascii="Cambria Math" w:hAnsi="Cambria Math"/>
          <w:sz w:val="25"/>
          <w:szCs w:val="25"/>
        </w:rPr>
        <w:t xml:space="preserve"> στο όνομά του, δυνάμει του οποίου στη συνέχεια δωρίζει στον Β ένα </w:t>
      </w:r>
      <w:proofErr w:type="spellStart"/>
      <w:r>
        <w:rPr>
          <w:rFonts w:ascii="Cambria Math" w:hAnsi="Cambria Math"/>
          <w:sz w:val="25"/>
          <w:szCs w:val="25"/>
        </w:rPr>
        <w:t>κληρονομιαίο</w:t>
      </w:r>
      <w:proofErr w:type="spellEnd"/>
      <w:r>
        <w:rPr>
          <w:rFonts w:ascii="Cambria Math" w:hAnsi="Cambria Math"/>
          <w:sz w:val="25"/>
          <w:szCs w:val="25"/>
        </w:rPr>
        <w:t xml:space="preserve"> ακίνητο. Τρία χρόνια μετά ο πραγματικός κληρονόμος επιτυγχάνει την έκδοση αποφάσεως που αναγνωρίζει αυτόν κληρονόμο και ασκεί κατά του Β αγωγή αδικαιολόγητου πλουτισμού. </w:t>
      </w:r>
      <w:proofErr w:type="spellStart"/>
      <w:r>
        <w:rPr>
          <w:rFonts w:ascii="Cambria Math" w:hAnsi="Cambria Math"/>
          <w:sz w:val="25"/>
          <w:szCs w:val="25"/>
        </w:rPr>
        <w:t>Ποία</w:t>
      </w:r>
      <w:proofErr w:type="spellEnd"/>
      <w:r>
        <w:rPr>
          <w:rFonts w:ascii="Cambria Math" w:hAnsi="Cambria Math"/>
          <w:sz w:val="25"/>
          <w:szCs w:val="25"/>
        </w:rPr>
        <w:t xml:space="preserve"> η τύχη της αγωγής;</w:t>
      </w:r>
    </w:p>
    <w:p w14:paraId="7E128B2D" w14:textId="77777777" w:rsidR="0027578A" w:rsidRPr="00C84E21" w:rsidRDefault="0027578A" w:rsidP="0027578A">
      <w:pPr>
        <w:pStyle w:val="a3"/>
        <w:rPr>
          <w:rFonts w:ascii="Cambria Math" w:hAnsi="Cambria Math"/>
          <w:sz w:val="25"/>
          <w:szCs w:val="25"/>
        </w:rPr>
      </w:pPr>
    </w:p>
    <w:p w14:paraId="3602541E"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Ο Α υπεξαιρεί ένα ρολόι του Β, του οποίου την οικία είχε την υποχρέωση να φυλάει. Στη συνέχεια </w:t>
      </w:r>
      <w:proofErr w:type="spellStart"/>
      <w:r>
        <w:rPr>
          <w:rFonts w:ascii="Cambria Math" w:hAnsi="Cambria Math"/>
          <w:sz w:val="25"/>
          <w:szCs w:val="25"/>
        </w:rPr>
        <w:t>πωλεί</w:t>
      </w:r>
      <w:proofErr w:type="spellEnd"/>
      <w:r>
        <w:rPr>
          <w:rFonts w:ascii="Cambria Math" w:hAnsi="Cambria Math"/>
          <w:sz w:val="25"/>
          <w:szCs w:val="25"/>
        </w:rPr>
        <w:t xml:space="preserve"> και μεταβιβάζει το ρολόι στον καλόπιστο Γ, έναντι 5000 ευρώ. Μπορεί ο Α να ασκήσει κατά του Γ αγωγή για απόδοση του πράγματος με βάση την ΑΚ 479;</w:t>
      </w:r>
    </w:p>
    <w:p w14:paraId="4B927C0B" w14:textId="77777777" w:rsidR="0027578A" w:rsidRDefault="0027578A" w:rsidP="0027578A">
      <w:pPr>
        <w:pStyle w:val="a3"/>
        <w:jc w:val="both"/>
        <w:rPr>
          <w:rFonts w:ascii="Cambria Math" w:hAnsi="Cambria Math"/>
          <w:sz w:val="25"/>
          <w:szCs w:val="25"/>
        </w:rPr>
      </w:pPr>
    </w:p>
    <w:p w14:paraId="4DAD9739"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 Ο Α, νόμιμος </w:t>
      </w:r>
      <w:proofErr w:type="spellStart"/>
      <w:r>
        <w:rPr>
          <w:rFonts w:ascii="Cambria Math" w:hAnsi="Cambria Math"/>
          <w:sz w:val="25"/>
          <w:szCs w:val="25"/>
        </w:rPr>
        <w:t>μεριδούχος</w:t>
      </w:r>
      <w:proofErr w:type="spellEnd"/>
      <w:r>
        <w:rPr>
          <w:rFonts w:ascii="Cambria Math" w:hAnsi="Cambria Math"/>
          <w:sz w:val="25"/>
          <w:szCs w:val="25"/>
        </w:rPr>
        <w:t xml:space="preserve"> στην κληρονομία του Κ, που απεβίωσε το 2016, ασκεί μέμψη άστοργης δωρεάς κατά του Γ</w:t>
      </w:r>
      <w:r w:rsidRPr="008A0741">
        <w:rPr>
          <w:rFonts w:ascii="Cambria" w:eastAsia="Calibri" w:hAnsi="Cambria" w:cs="Times New Roman"/>
        </w:rPr>
        <w:t xml:space="preserve"> </w:t>
      </w:r>
      <w:r w:rsidRPr="008A0741">
        <w:rPr>
          <w:rFonts w:ascii="Cambria Math" w:hAnsi="Cambria Math"/>
          <w:sz w:val="25"/>
          <w:szCs w:val="25"/>
        </w:rPr>
        <w:t xml:space="preserve">για την ικανοποίηση της νόμιμης μοίρας </w:t>
      </w:r>
      <w:r>
        <w:rPr>
          <w:rFonts w:ascii="Cambria Math" w:hAnsi="Cambria Math"/>
          <w:sz w:val="25"/>
          <w:szCs w:val="25"/>
        </w:rPr>
        <w:t xml:space="preserve">του και ζητεί, αφού ανατραπεί η δωρεά, να του μεταβιβασθεί το </w:t>
      </w:r>
      <w:proofErr w:type="spellStart"/>
      <w:r>
        <w:rPr>
          <w:rFonts w:ascii="Cambria Math" w:hAnsi="Cambria Math"/>
          <w:sz w:val="25"/>
          <w:szCs w:val="25"/>
        </w:rPr>
        <w:t>δωρηθέν</w:t>
      </w:r>
      <w:proofErr w:type="spellEnd"/>
      <w:r>
        <w:rPr>
          <w:rFonts w:ascii="Cambria Math" w:hAnsi="Cambria Math"/>
          <w:sz w:val="25"/>
          <w:szCs w:val="25"/>
        </w:rPr>
        <w:t xml:space="preserve"> ακίνητο</w:t>
      </w:r>
      <w:r w:rsidRPr="008A0741">
        <w:rPr>
          <w:rFonts w:ascii="Cambria Math" w:hAnsi="Cambria Math"/>
          <w:sz w:val="25"/>
          <w:szCs w:val="25"/>
        </w:rPr>
        <w:t xml:space="preserve">. </w:t>
      </w:r>
      <w:r>
        <w:rPr>
          <w:rFonts w:ascii="Cambria Math" w:hAnsi="Cambria Math"/>
          <w:sz w:val="25"/>
          <w:szCs w:val="25"/>
        </w:rPr>
        <w:t>Η εν</w:t>
      </w:r>
      <w:r w:rsidRPr="008A0741">
        <w:rPr>
          <w:rFonts w:ascii="Cambria Math" w:hAnsi="Cambria Math"/>
          <w:sz w:val="25"/>
          <w:szCs w:val="25"/>
        </w:rPr>
        <w:t xml:space="preserve"> ζωή δωρεά, που αποτελ</w:t>
      </w:r>
      <w:r>
        <w:rPr>
          <w:rFonts w:ascii="Cambria Math" w:hAnsi="Cambria Math"/>
          <w:sz w:val="25"/>
          <w:szCs w:val="25"/>
        </w:rPr>
        <w:t>εί</w:t>
      </w:r>
      <w:r w:rsidRPr="008A0741">
        <w:rPr>
          <w:rFonts w:ascii="Cambria Math" w:hAnsi="Cambria Math"/>
          <w:sz w:val="25"/>
          <w:szCs w:val="25"/>
        </w:rPr>
        <w:t xml:space="preserve"> το αντικείμενο της </w:t>
      </w:r>
      <w:r>
        <w:rPr>
          <w:rFonts w:ascii="Cambria Math" w:hAnsi="Cambria Math"/>
          <w:sz w:val="25"/>
          <w:szCs w:val="25"/>
        </w:rPr>
        <w:t>μέμψης και αφορούσε σε</w:t>
      </w:r>
      <w:r w:rsidRPr="008A0741">
        <w:rPr>
          <w:rFonts w:ascii="Cambria Math" w:hAnsi="Cambria Math"/>
          <w:sz w:val="25"/>
          <w:szCs w:val="25"/>
        </w:rPr>
        <w:t xml:space="preserve"> ακίνητο του κληρονομουμένου, </w:t>
      </w:r>
      <w:r>
        <w:rPr>
          <w:rFonts w:ascii="Cambria Math" w:hAnsi="Cambria Math"/>
          <w:sz w:val="25"/>
          <w:szCs w:val="25"/>
        </w:rPr>
        <w:t>έλαβε χώρα το 2002</w:t>
      </w:r>
      <w:r w:rsidRPr="008A0741">
        <w:rPr>
          <w:rFonts w:ascii="Cambria Math" w:hAnsi="Cambria Math"/>
          <w:sz w:val="25"/>
          <w:szCs w:val="25"/>
        </w:rPr>
        <w:t xml:space="preserve">. Ο </w:t>
      </w:r>
      <w:r>
        <w:rPr>
          <w:rFonts w:ascii="Cambria Math" w:hAnsi="Cambria Math"/>
          <w:sz w:val="25"/>
          <w:szCs w:val="25"/>
        </w:rPr>
        <w:t>εναγόμενος</w:t>
      </w:r>
      <w:r w:rsidRPr="008A0741">
        <w:rPr>
          <w:rFonts w:ascii="Cambria Math" w:hAnsi="Cambria Math"/>
          <w:sz w:val="25"/>
          <w:szCs w:val="25"/>
        </w:rPr>
        <w:t>, αμυνόμενος κατά της αγωγής, ισχυρί</w:t>
      </w:r>
      <w:r>
        <w:rPr>
          <w:rFonts w:ascii="Cambria Math" w:hAnsi="Cambria Math"/>
          <w:sz w:val="25"/>
          <w:szCs w:val="25"/>
        </w:rPr>
        <w:t>ζεται ότι δεν υπέχει υποχρέωση απόδοσης του ακινήτου γιατί έχουν συμπληρωθεί στο πρόσωπό του οι προϋποθέσεις της</w:t>
      </w:r>
      <w:r w:rsidRPr="008A0741">
        <w:rPr>
          <w:rFonts w:ascii="Cambria Math" w:hAnsi="Cambria Math"/>
          <w:sz w:val="25"/>
          <w:szCs w:val="25"/>
        </w:rPr>
        <w:t xml:space="preserve"> τακτική</w:t>
      </w:r>
      <w:r>
        <w:rPr>
          <w:rFonts w:ascii="Cambria Math" w:hAnsi="Cambria Math"/>
          <w:sz w:val="25"/>
          <w:szCs w:val="25"/>
        </w:rPr>
        <w:t>ς</w:t>
      </w:r>
      <w:r w:rsidRPr="008A0741">
        <w:rPr>
          <w:rFonts w:ascii="Cambria Math" w:hAnsi="Cambria Math"/>
          <w:sz w:val="25"/>
          <w:szCs w:val="25"/>
        </w:rPr>
        <w:t xml:space="preserve"> χρησικτησία</w:t>
      </w:r>
      <w:r>
        <w:rPr>
          <w:rFonts w:ascii="Cambria Math" w:hAnsi="Cambria Math"/>
          <w:sz w:val="25"/>
          <w:szCs w:val="25"/>
        </w:rPr>
        <w:t>ς</w:t>
      </w:r>
      <w:r w:rsidRPr="008A0741">
        <w:rPr>
          <w:rFonts w:ascii="Cambria Math" w:hAnsi="Cambria Math"/>
          <w:sz w:val="25"/>
          <w:szCs w:val="25"/>
        </w:rPr>
        <w:t>.</w:t>
      </w:r>
      <w:r>
        <w:rPr>
          <w:rFonts w:ascii="Cambria Math" w:hAnsi="Cambria Math"/>
          <w:sz w:val="25"/>
          <w:szCs w:val="25"/>
        </w:rPr>
        <w:t xml:space="preserve"> Τι θα αποφασίσει το δικαστήριο;</w:t>
      </w:r>
    </w:p>
    <w:p w14:paraId="178F4EC2" w14:textId="77777777" w:rsidR="0027578A" w:rsidRDefault="0027578A" w:rsidP="0027578A">
      <w:pPr>
        <w:rPr>
          <w:rFonts w:ascii="Cambria Math" w:hAnsi="Cambria Math"/>
          <w:sz w:val="25"/>
          <w:szCs w:val="25"/>
        </w:rPr>
      </w:pPr>
    </w:p>
    <w:p w14:paraId="6FCD3547"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lastRenderedPageBreak/>
        <w:t>Σε δίκη που άνοιξε με αγωγή του Α κατά του Β υποχρεώθηκε τελεσιδίκως ο τελευταίος να του αποδώσει, λόγω δανείου, ποσό 50.000 ευρώ. Εν συνεχεία όμως ο Β, που ανακάλυψε εξοφλητική απόδειξη που αποδείκνυε ότι είχε εξοφλήσει το δάνειο, ασκεί κατά του Α αγωγή αδικαιολόγητου πλουτισμού. Στη δίκη αυτή ο Α ισχυρίζεται ότι έχει νόμιμη αιτία για τη διατήρηση των 50.000 ευρώ και τέτοια είναι το δεδικασμένο της προηγούμενης δίκης; Ποια η τύχη της αγωγής;</w:t>
      </w:r>
    </w:p>
    <w:p w14:paraId="2E81C59A" w14:textId="77777777" w:rsidR="0027578A" w:rsidRPr="003F6773" w:rsidRDefault="0027578A" w:rsidP="0027578A">
      <w:pPr>
        <w:pStyle w:val="a3"/>
        <w:rPr>
          <w:rFonts w:ascii="Cambria Math" w:hAnsi="Cambria Math"/>
          <w:sz w:val="25"/>
          <w:szCs w:val="25"/>
        </w:rPr>
      </w:pPr>
    </w:p>
    <w:p w14:paraId="4386727F"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 Ο 70χρονος Α, προκειμένου να δελεάσει την εικοσιπεντάχρονη αλλοδαπή Β, ώστε αυτή να  συνευρίσκεται μαζί του σεξουαλικά, της παραχωρεί για να χρησιμοποιεί το ακριβό σπορ αυτοκίνητό του. Όταν εκείνη αργότερα αρνείται να τον συναντά, εκείνος εγείρε διεκδικητική αγωγή για το αυτοκίνητο, ισχυριζόμενος ότι απουσιάζει οποιαδήποτε νόμιμη αιτία για την κατοχή του εκ μέρους της. Ποια η τύχη της αγωγής αυτής;</w:t>
      </w:r>
    </w:p>
    <w:p w14:paraId="17E34BE7" w14:textId="77777777" w:rsidR="0027578A" w:rsidRPr="00811BA0" w:rsidRDefault="0027578A" w:rsidP="0027578A">
      <w:pPr>
        <w:pStyle w:val="a3"/>
        <w:rPr>
          <w:rFonts w:ascii="Cambria Math" w:hAnsi="Cambria Math"/>
          <w:sz w:val="25"/>
          <w:szCs w:val="25"/>
        </w:rPr>
      </w:pPr>
    </w:p>
    <w:p w14:paraId="05E3A7A0"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Ο Α συνάπτει με τον Β σύμβαση εργασίας, για την οποία χρειάζεται υγειονομικό βιβλιάριο, το οποίο ο Α δεν έχει. Ο Β για πολύ καιρό αρνείται να του καταβάλει τον συμφωνημένο μισθό, του καταβάλει δε πολύ μικρότερα ποσά, με επίκληση της ακυρότητας της μεταξύ τους συμβάσεως. Ο Α τελικώς, μετά από 10 χρόνια, αποφασίζει να ζητήσει όσα ο Β του οφείλει για όλα τα προηγούμενα χρόνια εργασίας. Ο Β αντιτείνει την παραγραφή των σχετικών αξιώσεων.</w:t>
      </w:r>
    </w:p>
    <w:p w14:paraId="09A25C47" w14:textId="77777777" w:rsidR="0027578A" w:rsidRPr="00A45028" w:rsidRDefault="0027578A" w:rsidP="0027578A">
      <w:pPr>
        <w:pStyle w:val="a3"/>
        <w:rPr>
          <w:rFonts w:ascii="Cambria Math" w:hAnsi="Cambria Math"/>
          <w:sz w:val="25"/>
          <w:szCs w:val="25"/>
        </w:rPr>
      </w:pPr>
    </w:p>
    <w:p w14:paraId="3C1AA08B"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 Ο Α, που οφείλει στον Β από δάνειο 10.000 ευρώ, του εξοφλεί την απαίτηση αυτή μολονότι η αξίωση του Β έχει υποπέσει σε παραγραφή, καθώς αγνοεί το σχετικό γεγονός. Όταν το μαθαίνει αξιώνει από τον Β να του επιστρέψει την παροχή ως </w:t>
      </w:r>
      <w:proofErr w:type="spellStart"/>
      <w:r>
        <w:rPr>
          <w:rFonts w:ascii="Cambria Math" w:hAnsi="Cambria Math"/>
          <w:sz w:val="25"/>
          <w:szCs w:val="25"/>
        </w:rPr>
        <w:t>αχρεωστήτως</w:t>
      </w:r>
      <w:proofErr w:type="spellEnd"/>
      <w:r>
        <w:rPr>
          <w:rFonts w:ascii="Cambria Math" w:hAnsi="Cambria Math"/>
          <w:sz w:val="25"/>
          <w:szCs w:val="25"/>
        </w:rPr>
        <w:t xml:space="preserve"> καταβληθείσα. Εκείνος του αντιτείνει ότι έχει νόμιμη αιτία για τη διατήρηση του πλουτισμού και συγκεκριμένα τον νόμο (ΑΚ 272 παρ. 2). Ορθά;</w:t>
      </w:r>
    </w:p>
    <w:p w14:paraId="648DD394" w14:textId="77777777" w:rsidR="0027578A" w:rsidRDefault="0027578A" w:rsidP="0027578A">
      <w:pPr>
        <w:pStyle w:val="a3"/>
        <w:jc w:val="both"/>
        <w:rPr>
          <w:rFonts w:ascii="Cambria Math" w:hAnsi="Cambria Math"/>
          <w:sz w:val="25"/>
          <w:szCs w:val="25"/>
        </w:rPr>
      </w:pPr>
    </w:p>
    <w:p w14:paraId="2FFAC1DD" w14:textId="77777777" w:rsidR="0027578A" w:rsidRDefault="0027578A" w:rsidP="0027578A">
      <w:pPr>
        <w:pStyle w:val="a3"/>
        <w:numPr>
          <w:ilvl w:val="0"/>
          <w:numId w:val="3"/>
        </w:numPr>
        <w:jc w:val="both"/>
        <w:rPr>
          <w:rFonts w:ascii="Cambria Math" w:hAnsi="Cambria Math"/>
          <w:sz w:val="25"/>
          <w:szCs w:val="25"/>
        </w:rPr>
      </w:pPr>
      <w:r>
        <w:rPr>
          <w:rFonts w:ascii="Cambria Math" w:hAnsi="Cambria Math"/>
          <w:sz w:val="25"/>
          <w:szCs w:val="25"/>
        </w:rPr>
        <w:t xml:space="preserve">Ο Α, γιος και μοναδικός κληρονόμος του </w:t>
      </w:r>
      <w:proofErr w:type="spellStart"/>
      <w:r>
        <w:rPr>
          <w:rFonts w:ascii="Cambria Math" w:hAnsi="Cambria Math"/>
          <w:sz w:val="25"/>
          <w:szCs w:val="25"/>
        </w:rPr>
        <w:t>θανώντος</w:t>
      </w:r>
      <w:proofErr w:type="spellEnd"/>
      <w:r>
        <w:rPr>
          <w:rFonts w:ascii="Cambria Math" w:hAnsi="Cambria Math"/>
          <w:sz w:val="25"/>
          <w:szCs w:val="25"/>
        </w:rPr>
        <w:t xml:space="preserve"> το 2010 Β, εκμισθώνει τον Μάρτιο του 2010 ένα </w:t>
      </w:r>
      <w:proofErr w:type="spellStart"/>
      <w:r>
        <w:rPr>
          <w:rFonts w:ascii="Cambria Math" w:hAnsi="Cambria Math"/>
          <w:sz w:val="25"/>
          <w:szCs w:val="25"/>
        </w:rPr>
        <w:t>κληρονομιαίο</w:t>
      </w:r>
      <w:proofErr w:type="spellEnd"/>
      <w:r>
        <w:rPr>
          <w:rFonts w:ascii="Cambria Math" w:hAnsi="Cambria Math"/>
          <w:sz w:val="25"/>
          <w:szCs w:val="25"/>
        </w:rPr>
        <w:t xml:space="preserve"> ακίνητο στον Γ έναντι μισθώματος 500 ευρώ τον μήνα. Το 2015 ανακαλύπτεται όμως ιδιόγραφη διαθήκη του Β, η οποία δημοσιεύεται,  με την οποία ο τελευταίος άφηνε το συγκεκριμένο ακίνητο στην εκκλησία του χωριού του για να την ενισχύσει. Ο Α αμέσως παραδίδει τα κλειδιά του σπιτιού στον εφημέριο του Ιερού Ναού, εκείνος όμως αξιώνει να του αποδώσει και τα μισθώματα που εισέπραξε μέχρι τώρα. Επειδή δε ο Α αρνείται, με την αιτιολογία ότι τα έχει αναλώσει, ο Ι. Ναός ασκεί αγωγή αδικαιολόγητου πλουτισμού εναντίον του.  </w:t>
      </w:r>
      <w:proofErr w:type="spellStart"/>
      <w:r>
        <w:rPr>
          <w:rFonts w:ascii="Cambria Math" w:hAnsi="Cambria Math"/>
          <w:sz w:val="25"/>
          <w:szCs w:val="25"/>
        </w:rPr>
        <w:t>Ποία</w:t>
      </w:r>
      <w:proofErr w:type="spellEnd"/>
      <w:r>
        <w:rPr>
          <w:rFonts w:ascii="Cambria Math" w:hAnsi="Cambria Math"/>
          <w:sz w:val="25"/>
          <w:szCs w:val="25"/>
        </w:rPr>
        <w:t xml:space="preserve"> η τύχη της;</w:t>
      </w:r>
    </w:p>
    <w:p w14:paraId="41EC00BE" w14:textId="77777777" w:rsidR="0027578A" w:rsidRPr="00833202" w:rsidRDefault="0027578A" w:rsidP="0027578A">
      <w:pPr>
        <w:pStyle w:val="a3"/>
        <w:rPr>
          <w:rFonts w:ascii="Cambria Math" w:hAnsi="Cambria Math"/>
          <w:sz w:val="25"/>
          <w:szCs w:val="25"/>
        </w:rPr>
      </w:pPr>
    </w:p>
    <w:p w14:paraId="78956E12" w14:textId="77777777" w:rsidR="0027578A" w:rsidRDefault="0027578A" w:rsidP="0027578A">
      <w:pPr>
        <w:pStyle w:val="a3"/>
        <w:jc w:val="both"/>
        <w:rPr>
          <w:rFonts w:ascii="Cambria Math" w:hAnsi="Cambria Math"/>
          <w:sz w:val="25"/>
          <w:szCs w:val="25"/>
        </w:rPr>
      </w:pPr>
    </w:p>
    <w:p w14:paraId="17AC9975" w14:textId="77777777" w:rsidR="0027578A" w:rsidRDefault="0027578A" w:rsidP="0027578A">
      <w:pPr>
        <w:pStyle w:val="a3"/>
        <w:numPr>
          <w:ilvl w:val="0"/>
          <w:numId w:val="3"/>
        </w:numPr>
        <w:spacing w:line="360" w:lineRule="exact"/>
        <w:jc w:val="both"/>
        <w:rPr>
          <w:rFonts w:ascii="Cambria Math" w:hAnsi="Cambria Math"/>
          <w:sz w:val="25"/>
          <w:szCs w:val="25"/>
        </w:rPr>
      </w:pPr>
      <w:r>
        <w:rPr>
          <w:rFonts w:ascii="Cambria Math" w:hAnsi="Cambria Math"/>
          <w:sz w:val="25"/>
          <w:szCs w:val="25"/>
        </w:rPr>
        <w:lastRenderedPageBreak/>
        <w:t xml:space="preserve">Ο Α, κύριος μιας ιδιωτικής νησίδας στην περιοχή της Χαλκιδικής, </w:t>
      </w:r>
      <w:proofErr w:type="spellStart"/>
      <w:r>
        <w:rPr>
          <w:rFonts w:ascii="Cambria Math" w:hAnsi="Cambria Math"/>
          <w:sz w:val="25"/>
          <w:szCs w:val="25"/>
        </w:rPr>
        <w:t>πωλεί</w:t>
      </w:r>
      <w:proofErr w:type="spellEnd"/>
      <w:r>
        <w:rPr>
          <w:rFonts w:ascii="Cambria Math" w:hAnsi="Cambria Math"/>
          <w:sz w:val="25"/>
          <w:szCs w:val="25"/>
        </w:rPr>
        <w:t>, μεταβιβάζει και παραδίδει στον Β 20 στρέμματα από την όλη έκτασή της χωρίς προηγούμενη άδεια του υπουργείου εθνικής άμυνας (άρθρο 28 ν. 1892/1990). Στη συνέχεια ο Β, επίσης χωρίς άδεια, δωρίζει, μεταβιβάζει και παραδίδει την ίδια έκταση στον γιο του Γ. Μπορεί ο Α να ζητήσει από τον Γ να του αποδώσει την έκταση αυτή με την αγωγή του αδικαιολόγητου πλουτισμού;</w:t>
      </w:r>
    </w:p>
    <w:p w14:paraId="5387ED27" w14:textId="77777777" w:rsidR="0027578A" w:rsidRPr="004E27D3" w:rsidRDefault="0027578A" w:rsidP="0027578A">
      <w:pPr>
        <w:pStyle w:val="a3"/>
        <w:rPr>
          <w:rFonts w:ascii="Cambria Math" w:hAnsi="Cambria Math"/>
          <w:sz w:val="25"/>
          <w:szCs w:val="25"/>
        </w:rPr>
      </w:pPr>
    </w:p>
    <w:p w14:paraId="6E0F34BD" w14:textId="77777777" w:rsidR="0027578A" w:rsidRDefault="0027578A" w:rsidP="0027578A">
      <w:pPr>
        <w:pStyle w:val="a3"/>
        <w:numPr>
          <w:ilvl w:val="0"/>
          <w:numId w:val="3"/>
        </w:numPr>
        <w:spacing w:line="360" w:lineRule="exact"/>
        <w:jc w:val="both"/>
        <w:rPr>
          <w:rFonts w:ascii="Cambria Math" w:hAnsi="Cambria Math"/>
          <w:sz w:val="25"/>
          <w:szCs w:val="25"/>
        </w:rPr>
      </w:pPr>
      <w:r w:rsidRPr="00A56C01">
        <w:rPr>
          <w:rFonts w:ascii="Cambria Math" w:hAnsi="Cambria Math"/>
          <w:sz w:val="25"/>
          <w:szCs w:val="25"/>
        </w:rPr>
        <w:t xml:space="preserve">Ο Α, εκ διαθήκης κληρονόμος του Π, υποχρεώνεται με τη διαθήκη να εξοφλήσει χρέος του αδερφού του Π, Δ, </w:t>
      </w:r>
      <w:r>
        <w:rPr>
          <w:rFonts w:ascii="Cambria Math" w:hAnsi="Cambria Math"/>
          <w:sz w:val="25"/>
          <w:szCs w:val="25"/>
        </w:rPr>
        <w:t xml:space="preserve">προς </w:t>
      </w:r>
      <w:r w:rsidRPr="00A56C01">
        <w:rPr>
          <w:rFonts w:ascii="Cambria Math" w:hAnsi="Cambria Math"/>
          <w:sz w:val="25"/>
          <w:szCs w:val="25"/>
        </w:rPr>
        <w:t xml:space="preserve">τον Β. Πράγματι, ο Α εξοφλεί το ποσό που χρωστά ο Δ στον Β. Αργότερα, ανακαλύπτεται νεότερη διαθήκη του Π, με την οποία αυτός αναιρεί την κληροδοσία του προς τον Δ, λόγω αχαριστίας του. Ο Α ασκεί τώρα αγωγή </w:t>
      </w:r>
      <w:proofErr w:type="spellStart"/>
      <w:r w:rsidRPr="00A56C01">
        <w:rPr>
          <w:rFonts w:ascii="Cambria Math" w:hAnsi="Cambria Math"/>
          <w:sz w:val="25"/>
          <w:szCs w:val="25"/>
        </w:rPr>
        <w:t>αδικαιλόγητου</w:t>
      </w:r>
      <w:proofErr w:type="spellEnd"/>
      <w:r w:rsidRPr="00A56C01">
        <w:rPr>
          <w:rFonts w:ascii="Cambria Math" w:hAnsi="Cambria Math"/>
          <w:sz w:val="25"/>
          <w:szCs w:val="25"/>
        </w:rPr>
        <w:t xml:space="preserve"> πλουτισμού εναντίον του Β.</w:t>
      </w:r>
    </w:p>
    <w:p w14:paraId="4CA57BAA" w14:textId="77777777" w:rsidR="0027578A" w:rsidRPr="0027578A" w:rsidRDefault="0027578A" w:rsidP="0027578A">
      <w:pPr>
        <w:pStyle w:val="a3"/>
        <w:rPr>
          <w:rFonts w:ascii="Cambria Math" w:hAnsi="Cambria Math"/>
          <w:sz w:val="25"/>
          <w:szCs w:val="25"/>
        </w:rPr>
      </w:pPr>
    </w:p>
    <w:p w14:paraId="4B992176" w14:textId="77777777" w:rsidR="0027578A" w:rsidRPr="00A56C01" w:rsidRDefault="0027578A" w:rsidP="0027578A">
      <w:pPr>
        <w:pStyle w:val="a3"/>
        <w:spacing w:line="360" w:lineRule="exact"/>
        <w:ind w:left="785"/>
        <w:jc w:val="both"/>
        <w:rPr>
          <w:rFonts w:ascii="Cambria Math" w:hAnsi="Cambria Math"/>
          <w:sz w:val="25"/>
          <w:szCs w:val="25"/>
        </w:rPr>
      </w:pPr>
    </w:p>
    <w:p w14:paraId="0B5D0647" w14:textId="77777777" w:rsidR="0027578A" w:rsidRDefault="0027578A" w:rsidP="0027578A">
      <w:pPr>
        <w:pStyle w:val="a3"/>
        <w:numPr>
          <w:ilvl w:val="0"/>
          <w:numId w:val="3"/>
        </w:numPr>
        <w:spacing w:line="360" w:lineRule="exact"/>
        <w:jc w:val="both"/>
        <w:rPr>
          <w:rFonts w:ascii="Cambria Math" w:hAnsi="Cambria Math"/>
          <w:sz w:val="25"/>
          <w:szCs w:val="25"/>
        </w:rPr>
      </w:pPr>
      <w:r>
        <w:rPr>
          <w:rFonts w:ascii="Cambria Math" w:hAnsi="Cambria Math"/>
          <w:sz w:val="25"/>
          <w:szCs w:val="25"/>
        </w:rPr>
        <w:t xml:space="preserve">Ο εισαγωγέας Α δίδει στην τράπεζα Τ εντολή να εκδώσει για λογαριασμό του εγγυητική επιστολή σε πρώτη ζήτηση υπέρ του αλλοδαπού πωλητή Β. Πράγματι η </w:t>
      </w:r>
      <w:r>
        <w:rPr>
          <w:rFonts w:ascii="Cambria Math" w:hAnsi="Cambria Math"/>
          <w:sz w:val="25"/>
          <w:szCs w:val="25"/>
          <w:lang w:val="en-US"/>
        </w:rPr>
        <w:t>T</w:t>
      </w:r>
      <w:r>
        <w:rPr>
          <w:rFonts w:ascii="Cambria Math" w:hAnsi="Cambria Math"/>
          <w:sz w:val="25"/>
          <w:szCs w:val="25"/>
        </w:rPr>
        <w:t xml:space="preserve"> εκδίδει την επιστολή, ο Β αποστέλλει το εμπόρευμα, όμως ο Α αρνείται να καταβάλει το τίμημα διότι το εμπόρευμα δεν έχει τις συμφωνημένες ιδιότητες και ζητά την αντικατάστασή του. Ο Β όμως αρνείται και ζητά κατάπτωση της εγγυητικής επιστολής, </w:t>
      </w:r>
      <w:proofErr w:type="spellStart"/>
      <w:r>
        <w:rPr>
          <w:rFonts w:ascii="Cambria Math" w:hAnsi="Cambria Math"/>
          <w:sz w:val="25"/>
          <w:szCs w:val="25"/>
        </w:rPr>
        <w:t>όπερ</w:t>
      </w:r>
      <w:proofErr w:type="spellEnd"/>
      <w:r>
        <w:rPr>
          <w:rFonts w:ascii="Cambria Math" w:hAnsi="Cambria Math"/>
          <w:sz w:val="25"/>
          <w:szCs w:val="25"/>
        </w:rPr>
        <w:t xml:space="preserve"> και συμβαίνει, παρά τις έντονες διαμαρτυρίες του Α προς την Τ. Ο Α αργότερα επιτυγχάνει να αναγνωρισθεί δικαστικά ότι δεν οφείλει το τίμημα. Ο Α στρέφεται κατά του Β με αγωγή αδικαιολόγητου πλουτισμού. Η Τ αντιτείνει ότι δότης του πλουτισμού είναι η Τ, όχι ο Α.</w:t>
      </w:r>
    </w:p>
    <w:p w14:paraId="7B5E2BF8" w14:textId="77777777" w:rsidR="0027578A" w:rsidRDefault="0027578A" w:rsidP="0027578A">
      <w:pPr>
        <w:spacing w:line="360" w:lineRule="exact"/>
        <w:ind w:left="720"/>
        <w:rPr>
          <w:rFonts w:ascii="Cambria Math" w:hAnsi="Cambria Math"/>
          <w:sz w:val="25"/>
          <w:szCs w:val="25"/>
        </w:rPr>
      </w:pPr>
    </w:p>
    <w:p w14:paraId="66C9CE77" w14:textId="77777777" w:rsidR="0027578A" w:rsidRDefault="0027578A" w:rsidP="0027578A">
      <w:pPr>
        <w:pStyle w:val="a3"/>
        <w:numPr>
          <w:ilvl w:val="0"/>
          <w:numId w:val="3"/>
        </w:numPr>
        <w:spacing w:line="360" w:lineRule="exact"/>
        <w:jc w:val="both"/>
        <w:rPr>
          <w:rFonts w:ascii="Cambria Math" w:hAnsi="Cambria Math"/>
          <w:sz w:val="25"/>
          <w:szCs w:val="25"/>
        </w:rPr>
      </w:pPr>
      <w:r>
        <w:rPr>
          <w:rFonts w:ascii="Cambria Math" w:hAnsi="Cambria Math"/>
          <w:sz w:val="25"/>
          <w:szCs w:val="25"/>
        </w:rPr>
        <w:t>Ο Α δίνει εντολή στον Β να πωλήσει και μεταβιβάσει στο δικό του όνομα ένα ζωγραφικό του πίνακα (του Α). Πράγματι ο Β μεταβιβάζει τον πίνακα στον Γ, όμως η μεταξύ τους σύμβαση (Β-Γ) κρίνεται άκυρη. Ποιος από τους Α και Β μπορεί να ζητήσει τον πίνακα από τον Γ;</w:t>
      </w:r>
    </w:p>
    <w:p w14:paraId="688F4000" w14:textId="77777777" w:rsidR="0027578A" w:rsidRPr="00833202" w:rsidRDefault="0027578A" w:rsidP="0027578A">
      <w:pPr>
        <w:pStyle w:val="a3"/>
        <w:spacing w:line="360" w:lineRule="exact"/>
        <w:rPr>
          <w:rFonts w:ascii="Cambria Math" w:hAnsi="Cambria Math"/>
          <w:sz w:val="25"/>
          <w:szCs w:val="25"/>
        </w:rPr>
      </w:pPr>
    </w:p>
    <w:p w14:paraId="5A972813" w14:textId="77777777" w:rsidR="0027578A" w:rsidRDefault="0027578A" w:rsidP="0027578A">
      <w:pPr>
        <w:pStyle w:val="a3"/>
        <w:spacing w:line="360" w:lineRule="exact"/>
        <w:jc w:val="both"/>
        <w:rPr>
          <w:rFonts w:ascii="Cambria Math" w:hAnsi="Cambria Math"/>
          <w:sz w:val="25"/>
          <w:szCs w:val="25"/>
        </w:rPr>
      </w:pPr>
    </w:p>
    <w:p w14:paraId="73E94634" w14:textId="77777777" w:rsidR="0027578A" w:rsidRPr="00833202" w:rsidRDefault="0027578A" w:rsidP="0027578A">
      <w:pPr>
        <w:pStyle w:val="a3"/>
        <w:jc w:val="both"/>
        <w:rPr>
          <w:rFonts w:ascii="Cambria Math" w:hAnsi="Cambria Math"/>
          <w:sz w:val="25"/>
          <w:szCs w:val="25"/>
        </w:rPr>
      </w:pPr>
    </w:p>
    <w:p w14:paraId="0F691D4A" w14:textId="77777777" w:rsidR="0027578A" w:rsidRPr="0027578A" w:rsidRDefault="0027578A" w:rsidP="00AF4857">
      <w:pPr>
        <w:ind w:left="0" w:firstLine="283"/>
        <w:rPr>
          <w:lang w:val="el-GR"/>
        </w:rPr>
      </w:pPr>
    </w:p>
    <w:sectPr w:rsidR="0027578A" w:rsidRPr="0027578A">
      <w:pgSz w:w="11906" w:h="16838"/>
      <w:pgMar w:top="1440" w:right="179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0D72F" w14:textId="77777777" w:rsidR="00F723DC" w:rsidRDefault="00F723DC" w:rsidP="0027578A">
      <w:pPr>
        <w:spacing w:after="0" w:line="240" w:lineRule="auto"/>
      </w:pPr>
      <w:r>
        <w:separator/>
      </w:r>
    </w:p>
  </w:endnote>
  <w:endnote w:type="continuationSeparator" w:id="0">
    <w:p w14:paraId="46DAE400" w14:textId="77777777" w:rsidR="00F723DC" w:rsidRDefault="00F723DC" w:rsidP="0027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A421" w14:textId="77777777" w:rsidR="00F723DC" w:rsidRDefault="00F723DC" w:rsidP="0027578A">
      <w:pPr>
        <w:spacing w:after="0" w:line="240" w:lineRule="auto"/>
      </w:pPr>
      <w:r>
        <w:separator/>
      </w:r>
    </w:p>
  </w:footnote>
  <w:footnote w:type="continuationSeparator" w:id="0">
    <w:p w14:paraId="55DAC8EE" w14:textId="77777777" w:rsidR="00F723DC" w:rsidRDefault="00F723DC" w:rsidP="00275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829A1"/>
    <w:multiLevelType w:val="hybridMultilevel"/>
    <w:tmpl w:val="9B267254"/>
    <w:lvl w:ilvl="0" w:tplc="6890E468">
      <w:start w:val="1"/>
      <w:numFmt w:val="decimal"/>
      <w:lvlText w:val="%1."/>
      <w:lvlJc w:val="left"/>
      <w:pPr>
        <w:ind w:left="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B087334">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B1C2EE8">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1C2679C">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788E6E8">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981EF0">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9BCD954">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554D6EE">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71A595A">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D369E6"/>
    <w:multiLevelType w:val="hybridMultilevel"/>
    <w:tmpl w:val="033ECEE2"/>
    <w:lvl w:ilvl="0" w:tplc="0408000F">
      <w:start w:val="1"/>
      <w:numFmt w:val="decimal"/>
      <w:lvlText w:val="%1."/>
      <w:lvlJc w:val="left"/>
      <w:pPr>
        <w:ind w:left="78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5E47A7"/>
    <w:multiLevelType w:val="hybridMultilevel"/>
    <w:tmpl w:val="76DEA97E"/>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03033095">
    <w:abstractNumId w:val="0"/>
  </w:num>
  <w:num w:numId="2" w16cid:durableId="325524447">
    <w:abstractNumId w:val="2"/>
  </w:num>
  <w:num w:numId="3" w16cid:durableId="141990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6E"/>
    <w:rsid w:val="00161A33"/>
    <w:rsid w:val="001F560A"/>
    <w:rsid w:val="00211BC6"/>
    <w:rsid w:val="0027578A"/>
    <w:rsid w:val="007B046E"/>
    <w:rsid w:val="00A72F02"/>
    <w:rsid w:val="00AF4857"/>
    <w:rsid w:val="00F723DC"/>
    <w:rsid w:val="00FC66F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65BE"/>
  <w15:docId w15:val="{C2FE78E3-8EAE-459B-9025-D0B3E09A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1" w:line="259" w:lineRule="auto"/>
      <w:ind w:left="293" w:hanging="10"/>
      <w:jc w:val="both"/>
    </w:pPr>
    <w:rPr>
      <w:rFonts w:ascii="Cambria" w:eastAsia="Cambria" w:hAnsi="Cambria" w:cs="Cambr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78A"/>
    <w:pPr>
      <w:spacing w:after="160"/>
      <w:ind w:left="720" w:firstLine="0"/>
      <w:contextualSpacing/>
      <w:jc w:val="left"/>
    </w:pPr>
    <w:rPr>
      <w:rFonts w:asciiTheme="minorHAnsi" w:eastAsiaTheme="minorHAnsi" w:hAnsiTheme="minorHAnsi" w:cstheme="minorBidi"/>
      <w:color w:val="auto"/>
      <w:kern w:val="0"/>
      <w:sz w:val="22"/>
      <w:szCs w:val="22"/>
      <w:lang w:val="el-GR" w:eastAsia="en-US"/>
      <w14:ligatures w14:val="none"/>
    </w:rPr>
  </w:style>
  <w:style w:type="character" w:styleId="a4">
    <w:name w:val="footnote reference"/>
    <w:uiPriority w:val="99"/>
    <w:semiHidden/>
    <w:rsid w:val="0027578A"/>
    <w:rPr>
      <w:vertAlign w:val="superscript"/>
    </w:rPr>
  </w:style>
  <w:style w:type="paragraph" w:styleId="a5">
    <w:name w:val="footnote text"/>
    <w:basedOn w:val="a"/>
    <w:link w:val="Char"/>
    <w:uiPriority w:val="99"/>
    <w:semiHidden/>
    <w:rsid w:val="0027578A"/>
    <w:pPr>
      <w:spacing w:after="0" w:line="240" w:lineRule="auto"/>
      <w:ind w:left="0" w:firstLine="284"/>
    </w:pPr>
    <w:rPr>
      <w:rFonts w:ascii="Calibri" w:eastAsia="Times New Roman" w:hAnsi="Calibri" w:cs="Times New Roman"/>
      <w:color w:val="auto"/>
      <w:kern w:val="0"/>
      <w:sz w:val="20"/>
      <w:szCs w:val="20"/>
      <w:lang w:val="el-GR" w:eastAsia="en-US"/>
      <w14:ligatures w14:val="none"/>
    </w:rPr>
  </w:style>
  <w:style w:type="character" w:customStyle="1" w:styleId="Char">
    <w:name w:val="Κείμενο υποσημείωσης Char"/>
    <w:basedOn w:val="a0"/>
    <w:link w:val="a5"/>
    <w:uiPriority w:val="99"/>
    <w:semiHidden/>
    <w:rsid w:val="0027578A"/>
    <w:rPr>
      <w:rFonts w:ascii="Calibri" w:eastAsia="Times New Roman" w:hAnsi="Calibri" w:cs="Times New Roman"/>
      <w:kern w:val="0"/>
      <w:sz w:val="20"/>
      <w:szCs w:val="20"/>
      <w:lang w:val="el-GR" w:eastAsia="en-US"/>
      <w14:ligatures w14:val="none"/>
    </w:rPr>
  </w:style>
  <w:style w:type="character" w:styleId="a6">
    <w:name w:val="annotation reference"/>
    <w:basedOn w:val="a0"/>
    <w:uiPriority w:val="99"/>
    <w:semiHidden/>
    <w:unhideWhenUsed/>
    <w:rsid w:val="0027578A"/>
    <w:rPr>
      <w:sz w:val="16"/>
      <w:szCs w:val="16"/>
    </w:rPr>
  </w:style>
  <w:style w:type="paragraph" w:styleId="a7">
    <w:name w:val="annotation text"/>
    <w:basedOn w:val="a"/>
    <w:link w:val="Char0"/>
    <w:uiPriority w:val="99"/>
    <w:semiHidden/>
    <w:unhideWhenUsed/>
    <w:rsid w:val="0027578A"/>
    <w:pPr>
      <w:spacing w:after="160" w:line="240" w:lineRule="auto"/>
      <w:ind w:left="0" w:firstLine="0"/>
      <w:jc w:val="left"/>
    </w:pPr>
    <w:rPr>
      <w:rFonts w:asciiTheme="minorHAnsi" w:eastAsiaTheme="minorHAnsi" w:hAnsiTheme="minorHAnsi" w:cstheme="minorBidi"/>
      <w:color w:val="auto"/>
      <w:kern w:val="0"/>
      <w:sz w:val="20"/>
      <w:szCs w:val="20"/>
      <w:lang w:val="el-GR" w:eastAsia="en-US"/>
      <w14:ligatures w14:val="none"/>
    </w:rPr>
  </w:style>
  <w:style w:type="character" w:customStyle="1" w:styleId="Char0">
    <w:name w:val="Κείμενο σχολίου Char"/>
    <w:basedOn w:val="a0"/>
    <w:link w:val="a7"/>
    <w:uiPriority w:val="99"/>
    <w:semiHidden/>
    <w:rsid w:val="0027578A"/>
    <w:rPr>
      <w:rFonts w:eastAsiaTheme="minorHAnsi"/>
      <w:kern w:val="0"/>
      <w:sz w:val="20"/>
      <w:szCs w:val="20"/>
      <w:lang w:val="el-GR"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1574</Words>
  <Characters>8502</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Kitsaras</dc:creator>
  <cp:keywords/>
  <cp:lastModifiedBy>Ioannis Mantzouranis</cp:lastModifiedBy>
  <cp:revision>5</cp:revision>
  <cp:lastPrinted>2024-04-16T08:30:00Z</cp:lastPrinted>
  <dcterms:created xsi:type="dcterms:W3CDTF">2024-04-16T08:39:00Z</dcterms:created>
  <dcterms:modified xsi:type="dcterms:W3CDTF">2025-03-19T23:33:00Z</dcterms:modified>
</cp:coreProperties>
</file>